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5674B2">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方正小标宋简体" w:hAnsi="宋体" w:eastAsia="方正小标宋简体"/>
          <w:color w:val="000000"/>
          <w:sz w:val="44"/>
          <w:szCs w:val="32"/>
          <w:highlight w:val="none"/>
        </w:rPr>
      </w:pPr>
      <w:r>
        <w:rPr>
          <w:rFonts w:hint="eastAsia" w:ascii="方正小标宋简体" w:hAnsi="宋体" w:eastAsia="方正小标宋简体"/>
          <w:color w:val="000000"/>
          <w:sz w:val="44"/>
          <w:szCs w:val="32"/>
          <w:highlight w:val="none"/>
        </w:rPr>
        <w:t>团体标准《地中海水牛种公牛饲养管理</w:t>
      </w:r>
    </w:p>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ascii="方正小标宋简体" w:hAnsi="宋体" w:eastAsia="方正小标宋简体"/>
          <w:color w:val="000000"/>
          <w:sz w:val="44"/>
          <w:szCs w:val="32"/>
          <w:highlight w:val="none"/>
        </w:rPr>
      </w:pPr>
      <w:r>
        <w:rPr>
          <w:rFonts w:hint="eastAsia" w:ascii="方正小标宋简体" w:hAnsi="宋体" w:eastAsia="方正小标宋简体"/>
          <w:color w:val="000000"/>
          <w:sz w:val="44"/>
          <w:szCs w:val="32"/>
          <w:highlight w:val="none"/>
        </w:rPr>
        <w:t>技术规程》（征求意见稿）编制说明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p>
    <w:p w14:paraId="0D5136F0">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r>
        <w:rPr>
          <w:rFonts w:hint="eastAsia" w:ascii="黑体" w:hAnsi="黑体" w:eastAsia="黑体" w:cs="仿宋_GB2312"/>
          <w:sz w:val="32"/>
          <w:szCs w:val="32"/>
          <w:highlight w:val="none"/>
        </w:rPr>
        <w:t>一、任务来源、起草单位、主要起草人</w:t>
      </w:r>
    </w:p>
    <w:p w14:paraId="7FB55DF0">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根据《广西标准化协会关于下达20</w:t>
      </w:r>
      <w:r>
        <w:rPr>
          <w:rFonts w:hint="eastAsia" w:ascii="仿宋_GB2312" w:hAnsi="宋体"/>
          <w:sz w:val="32"/>
          <w:szCs w:val="28"/>
          <w:highlight w:val="none"/>
          <w:lang w:val="en-US" w:eastAsia="zh-CN"/>
        </w:rPr>
        <w:t>25</w:t>
      </w:r>
      <w:r>
        <w:rPr>
          <w:rFonts w:hint="eastAsia" w:ascii="仿宋_GB2312" w:hAnsi="宋体" w:eastAsia="仿宋_GB2312"/>
          <w:sz w:val="32"/>
          <w:szCs w:val="28"/>
          <w:highlight w:val="none"/>
        </w:rPr>
        <w:t>年第四十</w:t>
      </w:r>
      <w:r>
        <w:rPr>
          <w:rFonts w:hint="eastAsia" w:ascii="仿宋_GB2312" w:hAnsi="宋体"/>
          <w:sz w:val="32"/>
          <w:szCs w:val="28"/>
          <w:highlight w:val="none"/>
          <w:lang w:val="en-US" w:eastAsia="zh-CN"/>
        </w:rPr>
        <w:t>三</w:t>
      </w:r>
      <w:r>
        <w:rPr>
          <w:rFonts w:hint="eastAsia" w:ascii="仿宋_GB2312" w:hAnsi="宋体" w:eastAsia="仿宋_GB2312"/>
          <w:sz w:val="32"/>
          <w:szCs w:val="28"/>
          <w:highlight w:val="none"/>
        </w:rPr>
        <w:t>批团体标准制修订项目计划的通知》（桂标协〔20</w:t>
      </w:r>
      <w:r>
        <w:rPr>
          <w:rFonts w:hint="eastAsia" w:ascii="仿宋_GB2312" w:hAnsi="宋体"/>
          <w:sz w:val="32"/>
          <w:szCs w:val="28"/>
          <w:highlight w:val="none"/>
          <w:lang w:val="en-US" w:eastAsia="zh-CN"/>
        </w:rPr>
        <w:t>25</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396</w:t>
      </w:r>
      <w:r>
        <w:rPr>
          <w:rFonts w:hint="eastAsia" w:ascii="仿宋_GB2312" w:hAnsi="宋体" w:eastAsia="仿宋_GB2312"/>
          <w:sz w:val="32"/>
          <w:szCs w:val="28"/>
          <w:highlight w:val="none"/>
        </w:rPr>
        <w:t>号）文件精神，由广西畜牧兽医学会提出，广西壮族自治区畜禽品种改良站、广西壮族自治区水牛研究所、广西农业职业技术大学、广西农业工程职业技术学院等</w:t>
      </w:r>
      <w:r>
        <w:rPr>
          <w:rFonts w:ascii="仿宋_GB2312" w:hAnsi="宋体" w:eastAsia="仿宋_GB2312"/>
          <w:sz w:val="32"/>
          <w:szCs w:val="28"/>
          <w:highlight w:val="none"/>
        </w:rPr>
        <w:t>单位</w:t>
      </w:r>
      <w:r>
        <w:rPr>
          <w:rFonts w:hint="eastAsia" w:ascii="仿宋_GB2312" w:hAnsi="宋体" w:eastAsia="仿宋_GB2312"/>
          <w:sz w:val="32"/>
          <w:szCs w:val="28"/>
          <w:highlight w:val="none"/>
        </w:rPr>
        <w:t>共同起草的团体标准《地中海水牛种公牛饲养管理技术规程》（项目编号：20</w:t>
      </w:r>
      <w:r>
        <w:rPr>
          <w:rFonts w:hint="eastAsia" w:ascii="仿宋_GB2312" w:hAnsi="宋体"/>
          <w:sz w:val="32"/>
          <w:szCs w:val="28"/>
          <w:highlight w:val="none"/>
          <w:lang w:val="en-US" w:eastAsia="zh-CN"/>
        </w:rPr>
        <w:t>25</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4307</w:t>
      </w:r>
      <w:r>
        <w:rPr>
          <w:rFonts w:hint="eastAsia" w:ascii="仿宋_GB2312" w:hAnsi="宋体" w:eastAsia="仿宋_GB2312"/>
          <w:sz w:val="32"/>
          <w:szCs w:val="28"/>
          <w:highlight w:val="none"/>
        </w:rPr>
        <w:t>）已获批立项。</w:t>
      </w:r>
    </w:p>
    <w:p w14:paraId="134AFA4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为高质量编制团体标准《地中海水牛种公牛饲养管理技术规程》，由起草单位成立标准编制工作组并进行如下分工：</w:t>
      </w:r>
    </w:p>
    <w:tbl>
      <w:tblPr>
        <w:tblStyle w:val="6"/>
        <w:tblW w:w="4996" w:type="pct"/>
        <w:tblInd w:w="0" w:type="dxa"/>
        <w:tblLayout w:type="autofit"/>
        <w:tblCellMar>
          <w:top w:w="0" w:type="dxa"/>
          <w:left w:w="108" w:type="dxa"/>
          <w:bottom w:w="0" w:type="dxa"/>
          <w:right w:w="108" w:type="dxa"/>
        </w:tblCellMar>
      </w:tblPr>
      <w:tblGrid>
        <w:gridCol w:w="937"/>
        <w:gridCol w:w="1347"/>
        <w:gridCol w:w="1110"/>
        <w:gridCol w:w="2660"/>
        <w:gridCol w:w="3113"/>
      </w:tblGrid>
      <w:tr w14:paraId="3FC4756D">
        <w:tblPrEx>
          <w:tblCellMar>
            <w:top w:w="0" w:type="dxa"/>
            <w:left w:w="108" w:type="dxa"/>
            <w:bottom w:w="0" w:type="dxa"/>
            <w:right w:w="108" w:type="dxa"/>
          </w:tblCellMar>
        </w:tblPrEx>
        <w:trPr>
          <w:cantSplit/>
          <w:trHeight w:val="603" w:hRule="atLeast"/>
          <w:tblHeader/>
        </w:trPr>
        <w:tc>
          <w:tcPr>
            <w:tcW w:w="511" w:type="pct"/>
            <w:tcBorders>
              <w:top w:val="single" w:color="auto" w:sz="4" w:space="0"/>
              <w:left w:val="single" w:color="auto" w:sz="4" w:space="0"/>
              <w:bottom w:val="single" w:color="auto" w:sz="4" w:space="0"/>
              <w:right w:val="single" w:color="auto" w:sz="4" w:space="0"/>
            </w:tcBorders>
            <w:noWrap w:val="0"/>
            <w:vAlign w:val="center"/>
          </w:tcPr>
          <w:p w14:paraId="1666FB21">
            <w:pPr>
              <w:keepNext w:val="0"/>
              <w:keepLines w:val="0"/>
              <w:pageBreakBefore w:val="0"/>
              <w:widowControl w:val="0"/>
              <w:kinsoku/>
              <w:wordWrap/>
              <w:overflowPunct/>
              <w:topLinePunct w:val="0"/>
              <w:autoSpaceDE/>
              <w:autoSpaceDN/>
              <w:bidi w:val="0"/>
              <w:adjustRightInd/>
              <w:snapToGrid/>
              <w:ind w:left="0" w:leftChars="0" w:firstLine="0" w:firstLineChars="0"/>
              <w:jc w:val="both"/>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姓 名</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7A37D08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从事</w:t>
            </w:r>
          </w:p>
          <w:p w14:paraId="1253635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专业</w:t>
            </w:r>
          </w:p>
        </w:tc>
        <w:tc>
          <w:tcPr>
            <w:tcW w:w="605" w:type="pct"/>
            <w:tcBorders>
              <w:top w:val="single" w:color="auto" w:sz="4" w:space="0"/>
              <w:left w:val="single" w:color="auto" w:sz="4" w:space="0"/>
              <w:bottom w:val="single" w:color="auto" w:sz="4" w:space="0"/>
              <w:right w:val="single" w:color="auto" w:sz="4" w:space="0"/>
            </w:tcBorders>
            <w:noWrap w:val="0"/>
            <w:vAlign w:val="center"/>
          </w:tcPr>
          <w:p w14:paraId="1A1B3BA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职称/</w:t>
            </w:r>
          </w:p>
          <w:p w14:paraId="5434D59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rPr>
              <w:t>职位</w:t>
            </w:r>
          </w:p>
        </w:tc>
        <w:tc>
          <w:tcPr>
            <w:tcW w:w="1450" w:type="pct"/>
            <w:tcBorders>
              <w:top w:val="single" w:color="auto" w:sz="4" w:space="0"/>
              <w:left w:val="single" w:color="auto" w:sz="4" w:space="0"/>
              <w:bottom w:val="single" w:color="auto" w:sz="4" w:space="0"/>
              <w:right w:val="single" w:color="auto" w:sz="4" w:space="0"/>
            </w:tcBorders>
            <w:noWrap w:val="0"/>
            <w:vAlign w:val="center"/>
          </w:tcPr>
          <w:p w14:paraId="4BF2F6E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工作单位</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7119DF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主要负责工作</w:t>
            </w:r>
          </w:p>
        </w:tc>
      </w:tr>
      <w:tr w14:paraId="3AE7BCAC">
        <w:tblPrEx>
          <w:tblCellMar>
            <w:top w:w="0" w:type="dxa"/>
            <w:left w:w="108" w:type="dxa"/>
            <w:bottom w:w="0" w:type="dxa"/>
            <w:right w:w="108" w:type="dxa"/>
          </w:tblCellMar>
        </w:tblPrEx>
        <w:trPr>
          <w:cantSplit/>
          <w:trHeight w:val="732"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9B6D01D">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1"/>
                <w:szCs w:val="21"/>
                <w:u w:val="none"/>
                <w:lang w:val="en-US" w:eastAsia="zh-CN" w:bidi="ar"/>
              </w:rPr>
              <w:t>李敏玲</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A047CB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动物遗传育种与繁殖</w:t>
            </w:r>
          </w:p>
        </w:tc>
        <w:tc>
          <w:tcPr>
            <w:tcW w:w="605" w:type="pct"/>
            <w:tcBorders>
              <w:top w:val="single" w:color="000000" w:sz="2" w:space="0"/>
              <w:left w:val="single" w:color="auto" w:sz="4" w:space="0"/>
              <w:bottom w:val="single" w:color="auto" w:sz="4" w:space="0"/>
              <w:right w:val="single" w:color="auto" w:sz="4" w:space="0"/>
            </w:tcBorders>
            <w:noWrap w:val="0"/>
            <w:vAlign w:val="center"/>
          </w:tcPr>
          <w:p w14:paraId="12F8FFD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auto" w:sz="4" w:space="0"/>
              <w:right w:val="single" w:color="auto" w:sz="4" w:space="0"/>
            </w:tcBorders>
            <w:noWrap w:val="0"/>
            <w:vAlign w:val="center"/>
          </w:tcPr>
          <w:p w14:paraId="51DEFA1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E291EB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统筹主持标准编制工作</w:t>
            </w:r>
          </w:p>
        </w:tc>
      </w:tr>
      <w:tr w14:paraId="222A90AE">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5BE7DF7">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覃孝杰</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68695B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auto" w:sz="4" w:space="0"/>
              <w:right w:val="single" w:color="auto" w:sz="4" w:space="0"/>
            </w:tcBorders>
            <w:noWrap w:val="0"/>
            <w:vAlign w:val="center"/>
          </w:tcPr>
          <w:p w14:paraId="1515C60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auto" w:sz="4" w:space="0"/>
              <w:right w:val="single" w:color="auto" w:sz="4" w:space="0"/>
            </w:tcBorders>
            <w:noWrap w:val="0"/>
            <w:vAlign w:val="center"/>
          </w:tcPr>
          <w:p w14:paraId="0F3610F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349FEC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参与标准编制工作，组织人员进行标准发布后的宣贯培训。</w:t>
            </w:r>
          </w:p>
        </w:tc>
      </w:tr>
      <w:tr w14:paraId="129B2F3B">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15A56F1">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黄子诚</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618482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动物医学</w:t>
            </w:r>
          </w:p>
        </w:tc>
        <w:tc>
          <w:tcPr>
            <w:tcW w:w="605" w:type="pct"/>
            <w:tcBorders>
              <w:top w:val="single" w:color="000000" w:sz="2" w:space="0"/>
              <w:left w:val="single" w:color="auto" w:sz="4" w:space="0"/>
              <w:bottom w:val="single" w:color="auto" w:sz="4" w:space="0"/>
              <w:right w:val="single" w:color="auto" w:sz="4" w:space="0"/>
            </w:tcBorders>
            <w:noWrap w:val="0"/>
            <w:vAlign w:val="center"/>
          </w:tcPr>
          <w:p w14:paraId="4F37840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auto" w:sz="4" w:space="0"/>
              <w:right w:val="single" w:color="auto" w:sz="4" w:space="0"/>
            </w:tcBorders>
            <w:noWrap w:val="0"/>
            <w:vAlign w:val="center"/>
          </w:tcPr>
          <w:p w14:paraId="6541C96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24EBD7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参与标准文本及编制说明编写，质量控制。</w:t>
            </w:r>
          </w:p>
        </w:tc>
      </w:tr>
      <w:tr w14:paraId="34CDF87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66FB5F0">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许春荣</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2BF274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195B0AD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4C1FB77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E8C489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FAD76EA">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3B53AEAF">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韦慧华</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0A5027A">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5D629DA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4C2AF7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E21373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43620BC">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39C9CDB">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刘德玉</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014AE69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3F582BEA">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3CBB49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E94BE1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B48B418">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93EC629">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何复明</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2BEDCD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4FB26ED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3D86C7C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D8807B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7CE7F2E9">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1ECF2BAA">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覃广胜</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750C6B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7B0D110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推广研究员</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A2D4DE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广西壮族自治区水牛研究所</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F84D2C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9EA9256">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4628BD40">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李现超</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149597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6F300E18">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无</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6DA8474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E0639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0239F7C8">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E295A6B">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李美珍</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CF597A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1BF9E2E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D25BD2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1E3DFD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738E2F6">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4C5BE7A">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覃广胜</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060C548">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2BFD243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推广研究员</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5D11A1F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广西壮族自治区水牛研究所</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1B0F4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2FFC8DA">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9CDF296">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卢  宁</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ACECF0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0D240B1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19BD165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广西农业工程职业技术大学</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538570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005BE715">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2B29E45">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孙如玉</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F92277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7375F43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D3B1F9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A1CFB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459E0876">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F6FF935">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陆杏蓉</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70BD5AD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33371AF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89A351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广西壮族自治区水牛研究所</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DFBC18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29857DA">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F1041EE">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漆爱荣</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3BAD61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3D29DE1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6B6CD93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ED1B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A3D9F21">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3653901">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方奕雄</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674ACF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6F49A14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3DBB145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44E161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56913D2">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CC4371A">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洪绍锋</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24D527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61BE122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FBA352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EF31E1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758ED268">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0BA5B42A">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邓祝新</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30CD4C58">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19491B7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7A5F334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CC36CD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0EB1098B">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4BE03892">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刘敏燕</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3D78B1F">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46712135">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default"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371D5DD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9A3925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F613A0E">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274C606">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李牮伸</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16FF9AC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152672A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65D5DAB1">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A22D2F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49935DB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39EE4839">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居融程</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B522F19">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default"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78C45016">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讲师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24B099F1">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3FE0B5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3F51115F">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324C8A0A">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孙守章</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71B87F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2E736806">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3565AB4A">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AD8915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37736422">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4FB6CC40">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邹乐勤</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1EA0AB5">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0D5A1F53">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A8C52D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035336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27D365F">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7E5AB45">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蒋世强</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64B91DBF">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0CD1744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3EB6C88">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C9B06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5E7BEC9">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720387D4">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陈盛英</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20F85BF">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57128FEB">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经济师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64D844D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1ACB7E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1AA0369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136CC185">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黄丽云</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7AA16E85">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3220E103">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451C200">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F397BE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770F892B">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1406FCF6">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周博武</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632D0C39">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畜禽品种改良</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79633D7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default"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讲师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290BC39F">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A1CAAE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3B760A17">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E3C80D0">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唐作顺</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5C23045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64FB3B4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0E484A03">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15CBC1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5A324C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461F6E18">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黄雅维</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3FA31886">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73ADA3A5">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477E6D4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F472A2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1395401">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FE6A4F3">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梁志敏</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40B4DAC6">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166DBC56">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56EB9171">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581DB4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39663F07">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066D4D8">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肖丽华</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7129AAA5">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2ACC0D43">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default"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447AFA44">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A3B53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44D97FF5">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4C227EB8">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邹延林</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29AC855C">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5E1E5791">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3CE3CCA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3E6DEF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4C142E9F">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76345C6E">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张峻豪</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01CD4E8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0977E269">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55631A5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F4649E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408CBD5A">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5536FC2B">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刘秋园</w:t>
            </w:r>
          </w:p>
        </w:tc>
        <w:tc>
          <w:tcPr>
            <w:tcW w:w="734" w:type="pct"/>
            <w:tcBorders>
              <w:top w:val="single" w:color="auto" w:sz="4" w:space="0"/>
              <w:left w:val="single" w:color="auto" w:sz="4" w:space="0"/>
              <w:bottom w:val="single" w:color="auto" w:sz="4" w:space="0"/>
              <w:right w:val="single" w:color="auto" w:sz="4" w:space="0"/>
            </w:tcBorders>
            <w:noWrap w:val="0"/>
            <w:vAlign w:val="center"/>
          </w:tcPr>
          <w:p w14:paraId="0D0D006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default"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000000" w:sz="2" w:space="0"/>
              <w:right w:val="single" w:color="auto" w:sz="4" w:space="0"/>
            </w:tcBorders>
            <w:noWrap w:val="0"/>
            <w:vAlign w:val="center"/>
          </w:tcPr>
          <w:p w14:paraId="2AAFE89D">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经济师</w:t>
            </w:r>
          </w:p>
        </w:tc>
        <w:tc>
          <w:tcPr>
            <w:tcW w:w="1450" w:type="pct"/>
            <w:tcBorders>
              <w:top w:val="single" w:color="000000" w:sz="2" w:space="0"/>
              <w:left w:val="single" w:color="auto" w:sz="4" w:space="0"/>
              <w:bottom w:val="single" w:color="000000" w:sz="2" w:space="0"/>
              <w:right w:val="single" w:color="auto" w:sz="4" w:space="0"/>
            </w:tcBorders>
            <w:noWrap w:val="0"/>
            <w:vAlign w:val="center"/>
          </w:tcPr>
          <w:p w14:paraId="5FC752ED">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303C63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710E69E">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noWrap w:val="0"/>
            <w:vAlign w:val="center"/>
          </w:tcPr>
          <w:p w14:paraId="220F6FB5">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仿宋_GB2312" w:hAnsi="仿宋_GB2312" w:eastAsia="仿宋_GB2312" w:cs="仿宋_GB2312"/>
                <w:sz w:val="24"/>
                <w:szCs w:val="24"/>
                <w:lang w:bidi="ar"/>
              </w:rPr>
            </w:pPr>
            <w:r>
              <w:rPr>
                <w:rFonts w:hint="eastAsia" w:ascii="宋体" w:hAnsi="宋体" w:eastAsia="宋体" w:cs="宋体"/>
                <w:i w:val="0"/>
                <w:iCs w:val="0"/>
                <w:color w:val="000000"/>
                <w:kern w:val="0"/>
                <w:sz w:val="22"/>
                <w:szCs w:val="22"/>
                <w:u w:val="none"/>
                <w:lang w:val="en-US" w:eastAsia="zh-CN" w:bidi="ar"/>
              </w:rPr>
              <w:t>吴小</w:t>
            </w:r>
            <w:bookmarkStart w:id="3" w:name="_GoBack"/>
            <w:r>
              <w:rPr>
                <w:rFonts w:hint="eastAsia" w:ascii="宋体" w:hAnsi="宋体" w:eastAsia="宋体" w:cs="宋体"/>
                <w:i w:val="0"/>
                <w:iCs w:val="0"/>
                <w:color w:val="000000"/>
                <w:kern w:val="0"/>
                <w:sz w:val="22"/>
                <w:szCs w:val="22"/>
                <w:u w:val="none"/>
                <w:lang w:val="en-US" w:eastAsia="zh-CN" w:bidi="ar"/>
              </w:rPr>
              <w:t>伟</w:t>
            </w:r>
            <w:bookmarkEnd w:id="3"/>
          </w:p>
        </w:tc>
        <w:tc>
          <w:tcPr>
            <w:tcW w:w="734" w:type="pct"/>
            <w:tcBorders>
              <w:top w:val="single" w:color="auto" w:sz="4" w:space="0"/>
              <w:left w:val="single" w:color="auto" w:sz="4" w:space="0"/>
              <w:bottom w:val="single" w:color="auto" w:sz="4" w:space="0"/>
              <w:right w:val="single" w:color="auto" w:sz="4" w:space="0"/>
            </w:tcBorders>
            <w:noWrap w:val="0"/>
            <w:vAlign w:val="center"/>
          </w:tcPr>
          <w:p w14:paraId="1AA99ADE">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仿宋_GB2312" w:hAnsi="仿宋_GB2312" w:eastAsia="仿宋_GB2312" w:cs="仿宋_GB2312"/>
                <w:i w:val="0"/>
                <w:iCs w:val="0"/>
                <w:kern w:val="2"/>
                <w:sz w:val="24"/>
                <w:szCs w:val="24"/>
                <w:u w:val="none"/>
                <w:lang w:val="en-US" w:eastAsia="zh-CN" w:bidi="ar"/>
              </w:rPr>
              <w:t>畜牧兽医</w:t>
            </w:r>
          </w:p>
        </w:tc>
        <w:tc>
          <w:tcPr>
            <w:tcW w:w="605" w:type="pct"/>
            <w:tcBorders>
              <w:top w:val="single" w:color="000000" w:sz="2" w:space="0"/>
              <w:left w:val="single" w:color="auto" w:sz="4" w:space="0"/>
              <w:bottom w:val="single" w:color="auto" w:sz="4" w:space="0"/>
              <w:right w:val="single" w:color="auto" w:sz="4" w:space="0"/>
            </w:tcBorders>
            <w:noWrap w:val="0"/>
            <w:vAlign w:val="center"/>
          </w:tcPr>
          <w:p w14:paraId="7830C427">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无</w:t>
            </w:r>
          </w:p>
        </w:tc>
        <w:tc>
          <w:tcPr>
            <w:tcW w:w="1450" w:type="pct"/>
            <w:tcBorders>
              <w:top w:val="single" w:color="000000" w:sz="2" w:space="0"/>
              <w:left w:val="single" w:color="auto" w:sz="4" w:space="0"/>
              <w:bottom w:val="single" w:color="auto" w:sz="4" w:space="0"/>
              <w:right w:val="single" w:color="auto" w:sz="4" w:space="0"/>
            </w:tcBorders>
            <w:noWrap w:val="0"/>
            <w:vAlign w:val="center"/>
          </w:tcPr>
          <w:p w14:paraId="458834E4">
            <w:pPr>
              <w:keepNext w:val="0"/>
              <w:keepLines w:val="0"/>
              <w:pageBreakBefore w:val="0"/>
              <w:widowControl w:val="0"/>
              <w:suppressLineNumbers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i w:val="0"/>
                <w:iCs w:val="0"/>
                <w:kern w:val="2"/>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广西壮族自治区畜禽品种改良站</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6E19CB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r>
        <w:rPr>
          <w:rFonts w:hint="eastAsia" w:ascii="黑体" w:hAnsi="黑体" w:eastAsia="黑体" w:cs="仿宋_GB2312"/>
          <w:sz w:val="32"/>
          <w:szCs w:val="32"/>
          <w:highlight w:val="none"/>
        </w:rPr>
        <w:t>二、制定标准的必要性和意义</w:t>
      </w:r>
    </w:p>
    <w:p w14:paraId="6924415D">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水牛是我国重要的经济畜种，因其独特的优势被国际粮农组织（FAO)认定为最具开发潜力和开发价值的家畜之一，水牛奶以其浓香醇厚的口感和优秀的品质得到了消费者的认可和市场的肯定。我国奶水牛资源丰富，居于世界第三位，广西是我国水牛养殖传统优势地区之一，水牛养殖历史悠久，品种资源丰富，全区14个地级市均有分布，是全国水牛存栏量最多的地区。为支持奶水牛品种改良，广西壮族自治区于2007年首次引进了地中海水牛冻精，2014年首次引入了地中海活体水牛，年产地中海水牛冻精3万支以上。2018年3月起，广西开始向全区推广地中海水牛冻精，累计利用3万支地中海水牛冻精改良本地水牛，累计产地中海杂交牛犊1.6万头。</w:t>
      </w:r>
    </w:p>
    <w:p w14:paraId="1F0D9C8C">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地中海水牛分布在意大利地中海沿岸地区，与摩拉、尼里-拉菲水牛一样，是目前世界上河流型水牛中生产性能最好的品种之一，也是目前世界上针对乳用性能选育程度较高的一个品种，目前已被引进到英国、荷兰、巴西、美国、澳大利亚等国家。根据国际水牛联合会常务秘书长安东尼奥教授提供资料显示，地中海水牛泌乳期(270天)产奶量可达到2221千克，部分高产牛群可达4000～5000千克，平均乳脂率8.24%，乳蛋白率4.66%。在良好的饲养管理条件下，以地中海水牛为终端父本的杂交后代，生长发育快，性成熟早，肉用性能和繁殖性能好，可达到2年1个世代。</w:t>
      </w:r>
    </w:p>
    <w:p w14:paraId="3D8D2806">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截至2019年10月，广西华胥水牛生物科技有限公司自主繁育纯种意大利奶用水牛135头（公牛67头，母牛68头），打造了高产的地中海水牛奶牛核心群和生产性能好的地中海水牛种牛核心群；以地中海水牛作为父本，组建地中海水牛杂交利用核心牛群，通过人工授精的方式，既可以杂交改良广西本地水牛，也可以与广西多年培育的摩拉水牛、尼里-拉菲水牛三元杂交后的改良水牛进行再次杂交。然而在遗传层面，存在因与本地牛无序杂交而导致优良基因被稀释的风险；在繁殖层面，突出表现为引进种公牛的精液质量不稳定、受胎率不理想，部分个体甚至存在由特定基因缺陷引发的“隐形不育”隐患；在管理层面，则普遍缺乏与其生理特性相匹配的精细化、标准化饲养与健康管理规程。</w:t>
      </w:r>
    </w:p>
    <w:p w14:paraId="29176190">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根据广西壮族自治区畜禽品种改良站研究成果，地中海水牛种公牛精液品质和产量受饲料、运动、疫病防治等多种因素影响，如果没有科学的饲养、合理的采精安排，必定会影响当年的生产质量和产量。地中海采精种公牛执行标准化饲养管理，可以提高公牛精液质量和产量，原精活力提高4.6%、原精合格率提高42.8%；冻后活力提高8.56%，冻后合格率提高29%；提高冻精产量25支/次/头（0.25mL/剂）。</w:t>
      </w:r>
    </w:p>
    <w:p w14:paraId="50C39573">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优质的种质资源是水牛产业发展的根基，通过制定团体标准《地中海水牛种公牛饲养管理技术规程》，规范地中海水牛种公牛饲养管理技术操作，从源头把好质量关，对促进广西水牛养殖业高质量发展具有重要意义。因此，制定团体标准《地中海水牛种公牛饲养管理技术规程》十分必要。</w:t>
      </w:r>
    </w:p>
    <w:p w14:paraId="64CFA7E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r>
        <w:rPr>
          <w:rFonts w:hint="eastAsia" w:ascii="黑体" w:hAnsi="黑体" w:eastAsia="黑体" w:cs="仿宋_GB2312"/>
          <w:sz w:val="32"/>
          <w:szCs w:val="32"/>
          <w:highlight w:val="none"/>
        </w:rPr>
        <w:t>三、主要起草过程</w:t>
      </w:r>
    </w:p>
    <w:p w14:paraId="0D6A5644">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sz w:val="32"/>
          <w:szCs w:val="28"/>
          <w:highlight w:val="none"/>
        </w:rPr>
      </w:pPr>
      <w:r>
        <w:rPr>
          <w:rFonts w:hint="eastAsia" w:ascii="楷体" w:hAnsi="楷体" w:eastAsia="楷体" w:cs="仿宋_GB2312"/>
          <w:b/>
          <w:sz w:val="32"/>
          <w:szCs w:val="28"/>
          <w:highlight w:val="none"/>
        </w:rPr>
        <w:t>（一）成立标准编制工作组</w:t>
      </w:r>
    </w:p>
    <w:p w14:paraId="437C2B6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团体标准《地中海水牛种公牛饲养管理技术规程》项目任务下达后，广西壮族自治区畜禽品种改良站成立了标准编制工作组，起草单位制定了起草编写方案与进度安排，明确任务职责，确定工作技术路线，开展标准研制工作。具体标准编制工作由广西壮族自治区畜禽品种改良站、广西壮族自治区水牛研究所、广西农业职业技术大学、广西农业工程职业技术学院等单位负责人组成的标准编制工作组完成。</w:t>
      </w:r>
    </w:p>
    <w:p w14:paraId="0D99A07B">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编制工作组下设三个组，分别是资料收集组、草案编写组、标准实施组。</w:t>
      </w:r>
    </w:p>
    <w:p w14:paraId="59AE398B">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资料收集组负责国内外有关地中海水牛种公牛饲养管理的文献资料的查询、收集和整理工作，查阅前人对地中海水牛种公牛饲养管理的研究情况。</w:t>
      </w:r>
    </w:p>
    <w:p w14:paraId="0BE25F71">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标准实施组负责团体标准《地中海水牛种公牛饲养管理技术规程》发布后，组织相关企事业单位开展标准宣贯培训会，对标准进行详细解读，让相关人员了解标准，并根据标准对地中海水牛种公牛饲养管理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highlight w:val="none"/>
        </w:rPr>
      </w:pPr>
      <w:r>
        <w:rPr>
          <w:rFonts w:hint="eastAsia" w:ascii="楷体" w:hAnsi="楷体" w:eastAsia="楷体" w:cs="仿宋_GB2312"/>
          <w:b/>
          <w:sz w:val="32"/>
          <w:szCs w:val="28"/>
          <w:highlight w:val="none"/>
        </w:rPr>
        <w:t>（二）收集整理文献资料</w:t>
      </w:r>
    </w:p>
    <w:p w14:paraId="2B9611BD">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lang w:val="fr-FR"/>
        </w:rPr>
      </w:pPr>
      <w:r>
        <w:rPr>
          <w:rFonts w:hint="eastAsia" w:ascii="仿宋_GB2312" w:hAnsi="宋体" w:eastAsia="仿宋_GB2312"/>
          <w:sz w:val="32"/>
          <w:szCs w:val="28"/>
          <w:highlight w:val="none"/>
        </w:rPr>
        <w:t>标准编制工作组收集了国内有关种公牛饲养管理相关文献资料。主要有</w:t>
      </w:r>
      <w:r>
        <w:rPr>
          <w:rFonts w:hint="eastAsia" w:ascii="仿宋_GB2312" w:hAnsi="宋体" w:eastAsia="仿宋_GB2312"/>
          <w:sz w:val="32"/>
          <w:szCs w:val="28"/>
          <w:highlight w:val="none"/>
          <w:lang w:val="fr-FR"/>
        </w:rPr>
        <w:t>：</w:t>
      </w:r>
    </w:p>
    <w:p w14:paraId="0201D98D">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NY/T 1446-2007  种公牛饲养管理技术规程</w:t>
      </w:r>
    </w:p>
    <w:p w14:paraId="4E26FE59">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DB12T 975-2020  荷斯坦种公牛饲养管理技术规程</w:t>
      </w:r>
    </w:p>
    <w:p w14:paraId="39C0841F">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T/TLRN 004-2022  科尔沁肉牛种公牛饲养管理技术规程</w:t>
      </w:r>
    </w:p>
    <w:p w14:paraId="373342B9">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DB45/T 913-2013  摩拉水牛、尼里／拉菲水牛种公牛饲养管理技术规范。</w:t>
      </w:r>
    </w:p>
    <w:p w14:paraId="44937C7D">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highlight w:val="none"/>
        </w:rPr>
      </w:pPr>
      <w:r>
        <w:rPr>
          <w:rFonts w:hint="eastAsia" w:ascii="楷体" w:hAnsi="楷体" w:eastAsia="楷体" w:cs="仿宋_GB2312"/>
          <w:b/>
          <w:sz w:val="32"/>
          <w:szCs w:val="28"/>
          <w:highlight w:val="none"/>
        </w:rPr>
        <w:t>（三）研讨确定标准</w:t>
      </w:r>
      <w:r>
        <w:rPr>
          <w:rFonts w:hint="eastAsia" w:ascii="楷体" w:hAnsi="楷体" w:eastAsia="楷体" w:cs="仿宋_GB2312"/>
          <w:b/>
          <w:sz w:val="32"/>
          <w:szCs w:val="28"/>
          <w:highlight w:val="none"/>
          <w:lang w:val="en-US" w:eastAsia="zh-CN"/>
        </w:rPr>
        <w:t>特色、创新点、</w:t>
      </w:r>
      <w:r>
        <w:rPr>
          <w:rFonts w:hint="eastAsia" w:ascii="楷体" w:hAnsi="楷体" w:eastAsia="楷体" w:cs="仿宋_GB2312"/>
          <w:b/>
          <w:sz w:val="32"/>
          <w:szCs w:val="28"/>
          <w:highlight w:val="none"/>
        </w:rPr>
        <w:t>主体内容</w:t>
      </w:r>
    </w:p>
    <w:p w14:paraId="2963878A">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1、创新点</w:t>
      </w:r>
    </w:p>
    <w:p w14:paraId="1A9C50C7">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1）后备期精准调控营养平衡，并依据品种特性适时实施穿鼻驯化管理，为其后期开发利用奠定基础；成年期则根据生理状态（如采精频率）实行精细化饲养，通过优化日粮结构与强化特定营养，精准满足其维持与生产所需。将日粮配方与功能性营养强化相结合，实现了公牛全生命周期的健康维护与繁殖效能提升。</w:t>
      </w:r>
    </w:p>
    <w:p w14:paraId="622C5CB5">
      <w:pPr>
        <w:keepNext w:val="0"/>
        <w:keepLines w:val="0"/>
        <w:pageBreakBefore w:val="0"/>
        <w:kinsoku/>
        <w:overflowPunct/>
        <w:topLinePunct w:val="0"/>
        <w:bidi w:val="0"/>
        <w:snapToGrid/>
        <w:ind w:firstLine="640" w:firstLineChars="200"/>
        <w:textAlignment w:val="auto"/>
        <w:rPr>
          <w:rFonts w:hint="default" w:ascii="仿宋_GB2312" w:hAnsi="宋体"/>
          <w:sz w:val="32"/>
          <w:szCs w:val="28"/>
          <w:highlight w:val="none"/>
          <w:lang w:val="en-US" w:eastAsia="zh-CN"/>
        </w:rPr>
      </w:pPr>
      <w:r>
        <w:rPr>
          <w:rFonts w:hint="eastAsia" w:ascii="仿宋_GB2312" w:hAnsi="宋体"/>
          <w:sz w:val="32"/>
          <w:szCs w:val="28"/>
          <w:highlight w:val="none"/>
          <w:lang w:val="en-US" w:eastAsia="zh-CN"/>
        </w:rPr>
        <w:t>（2）针对地中海水牛种公牛生长快、体型大、精液密度高的品种特性，创新构建了全周期精准营养与管理体系。通过系统测定各阶段营养需求，制定差异化饲养方案，确保种用体况发育。同时，明确采精环境温度控制阈值（35℃以下），有效规避热应激导致的精液品质下降风险。通过营养调控与环境管理的协同优化，显著提升了种公牛原精活力、冻精合格率及单次产量，实现了优良遗传资源的高效开发利用。</w:t>
      </w:r>
    </w:p>
    <w:p w14:paraId="2A81DD5F">
      <w:pPr>
        <w:keepNext w:val="0"/>
        <w:keepLines w:val="0"/>
        <w:pageBreakBefore w:val="0"/>
        <w:kinsoku/>
        <w:overflowPunct/>
        <w:topLinePunct w:val="0"/>
        <w:bidi w:val="0"/>
        <w:snapToGrid/>
        <w:ind w:firstLine="640" w:firstLineChars="200"/>
        <w:textAlignment w:val="auto"/>
        <w:rPr>
          <w:rFonts w:hint="default" w:ascii="仿宋_GB2312" w:hAnsi="宋体"/>
          <w:sz w:val="32"/>
          <w:szCs w:val="28"/>
          <w:highlight w:val="none"/>
          <w:lang w:val="en-US" w:eastAsia="zh-CN"/>
        </w:rPr>
      </w:pPr>
      <w:r>
        <w:rPr>
          <w:rFonts w:hint="eastAsia" w:ascii="仿宋_GB2312" w:hAnsi="宋体"/>
          <w:sz w:val="32"/>
          <w:szCs w:val="28"/>
          <w:highlight w:val="none"/>
          <w:lang w:val="en-US" w:eastAsia="zh-CN"/>
        </w:rPr>
        <w:t>2、主体内容</w:t>
      </w:r>
    </w:p>
    <w:p w14:paraId="691B939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标准编制工作组在对收集的资料进行整理研究之后，标准编制工作组召开了标准编制会议，对标准的整体框架结构进行了研究，并对标准的关键性内容进行了初步探讨。经过研究，标准的主体内容确定为术语和定义、种公牛饲料、种公牛饲养、种公牛管理</w:t>
      </w:r>
      <w:r>
        <w:rPr>
          <w:rFonts w:hint="eastAsia" w:ascii="仿宋_GB2312" w:hAnsi="宋体"/>
          <w:sz w:val="32"/>
          <w:szCs w:val="28"/>
          <w:highlight w:val="none"/>
          <w:lang w:eastAsia="zh-CN"/>
        </w:rPr>
        <w:t>、技术资料的登记和管理</w:t>
      </w:r>
      <w:r>
        <w:rPr>
          <w:rFonts w:hint="eastAsia" w:ascii="仿宋_GB2312" w:hAnsi="宋体" w:eastAsia="仿宋_GB2312"/>
          <w:sz w:val="32"/>
          <w:szCs w:val="28"/>
          <w:highlight w:val="none"/>
        </w:rPr>
        <w:t>。</w:t>
      </w:r>
    </w:p>
    <w:p w14:paraId="61FABD7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highlight w:val="none"/>
        </w:rPr>
      </w:pPr>
      <w:r>
        <w:rPr>
          <w:rFonts w:hint="eastAsia" w:ascii="楷体" w:hAnsi="楷体" w:eastAsia="楷体" w:cs="仿宋_GB2312"/>
          <w:b/>
          <w:sz w:val="32"/>
          <w:szCs w:val="28"/>
          <w:highlight w:val="none"/>
        </w:rPr>
        <w:t>（四）调研及形成草案、征求意见稿</w:t>
      </w:r>
    </w:p>
    <w:p w14:paraId="6B43200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年</w:t>
      </w:r>
      <w:r>
        <w:rPr>
          <w:rFonts w:hint="eastAsia" w:ascii="仿宋_GB2312" w:hAnsi="宋体"/>
          <w:sz w:val="32"/>
          <w:szCs w:val="28"/>
          <w:highlight w:val="none"/>
          <w:lang w:val="en-US" w:eastAsia="zh-CN"/>
        </w:rPr>
        <w:t>1</w:t>
      </w:r>
      <w:r>
        <w:rPr>
          <w:rFonts w:hint="eastAsia" w:ascii="仿宋_GB2312" w:hAnsi="宋体" w:eastAsia="仿宋_GB2312"/>
          <w:sz w:val="32"/>
          <w:szCs w:val="28"/>
          <w:highlight w:val="none"/>
        </w:rPr>
        <w:t>月，标准起草工作小组进行了广泛调研工作，查阅了大量的国内外文献资料，对地中海水牛种公牛饲养管理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年</w:t>
      </w:r>
      <w:r>
        <w:rPr>
          <w:rFonts w:hint="eastAsia" w:ascii="仿宋_GB2312" w:hAnsi="宋体"/>
          <w:sz w:val="32"/>
          <w:szCs w:val="28"/>
          <w:highlight w:val="none"/>
          <w:lang w:val="en-US" w:eastAsia="zh-CN"/>
        </w:rPr>
        <w:t>2</w:t>
      </w:r>
      <w:r>
        <w:rPr>
          <w:rFonts w:hint="eastAsia" w:ascii="仿宋_GB2312" w:hAnsi="宋体" w:eastAsia="仿宋_GB2312"/>
          <w:sz w:val="32"/>
          <w:szCs w:val="28"/>
          <w:highlight w:val="none"/>
        </w:rPr>
        <w:t>月，在前期工作的基础之上，通过理清逻辑脉络，整合已有的参考资料中有关地中海水牛种公牛饲养管理要求，并结合地中海水牛种公牛饲养管理实际要求的基础上，按照简化、统一等原则编制完成团体标准《地中海水牛种公牛饲养管理技术规程》（草案）。</w:t>
      </w:r>
    </w:p>
    <w:p w14:paraId="1F6A96F1">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年</w:t>
      </w:r>
      <w:r>
        <w:rPr>
          <w:rFonts w:hint="eastAsia" w:ascii="仿宋_GB2312" w:hAnsi="宋体"/>
          <w:sz w:val="32"/>
          <w:szCs w:val="28"/>
          <w:highlight w:val="none"/>
          <w:lang w:val="en-US" w:eastAsia="zh-CN"/>
        </w:rPr>
        <w:t>3</w:t>
      </w:r>
      <w:r>
        <w:rPr>
          <w:rFonts w:hint="eastAsia" w:ascii="仿宋_GB2312" w:hAnsi="宋体" w:eastAsia="仿宋_GB2312"/>
          <w:sz w:val="32"/>
          <w:szCs w:val="28"/>
          <w:highlight w:val="none"/>
        </w:rPr>
        <w:t>月，标准起草工作组到</w:t>
      </w:r>
      <w:r>
        <w:rPr>
          <w:rFonts w:ascii="仿宋_GB2312" w:hAnsi="宋体" w:eastAsia="仿宋_GB2312"/>
          <w:sz w:val="32"/>
          <w:szCs w:val="28"/>
          <w:highlight w:val="none"/>
        </w:rPr>
        <w:t>相关单位和科研机构进行调研，开展试验验证</w:t>
      </w:r>
      <w:r>
        <w:rPr>
          <w:rFonts w:hint="eastAsia" w:ascii="仿宋_GB2312" w:hAnsi="宋体" w:eastAsia="仿宋_GB2312"/>
          <w:sz w:val="32"/>
          <w:szCs w:val="28"/>
          <w:highlight w:val="none"/>
        </w:rPr>
        <w:t>。并实际征求意见，通过收集反馈了大量意见，标准编制工作组多次召开会议，对标准草案进行了反复修改和研究讨论。进一步讨论完善标准草案，形成团体标准《地中海水牛种公牛饲养管理技术规程》（征求意见稿）和（征求意见稿）编制说明。</w:t>
      </w:r>
    </w:p>
    <w:p w14:paraId="3B832357">
      <w:pPr>
        <w:keepNext w:val="0"/>
        <w:keepLines w:val="0"/>
        <w:pageBreakBefore w:val="0"/>
        <w:kinsoku/>
        <w:overflowPunct/>
        <w:topLinePunct w:val="0"/>
        <w:autoSpaceDE w:val="0"/>
        <w:autoSpaceDN w:val="0"/>
        <w:bidi w:val="0"/>
        <w:adjustRightInd w:val="0"/>
        <w:snapToGrid/>
        <w:jc w:val="left"/>
        <w:textAlignment w:val="auto"/>
        <w:rPr>
          <w:rFonts w:eastAsia="黑体"/>
          <w:bCs/>
          <w:sz w:val="32"/>
          <w:szCs w:val="32"/>
          <w:highlight w:val="none"/>
        </w:rPr>
      </w:pPr>
      <w:bookmarkStart w:id="0" w:name="_Toc526940083"/>
      <w:r>
        <w:rPr>
          <w:rFonts w:eastAsia="黑体"/>
          <w:bCs/>
          <w:sz w:val="32"/>
          <w:szCs w:val="32"/>
          <w:highlight w:val="none"/>
        </w:rPr>
        <w:t>四、</w:t>
      </w:r>
      <w:bookmarkEnd w:id="0"/>
      <w:r>
        <w:rPr>
          <w:rFonts w:eastAsia="黑体"/>
          <w:bCs/>
          <w:sz w:val="32"/>
          <w:szCs w:val="32"/>
          <w:highlight w:val="none"/>
        </w:rPr>
        <w:t>制定标准的原则和依据，与现行法律、法规的关系，与有关国家标准、行业标准的协调情况</w:t>
      </w:r>
    </w:p>
    <w:p w14:paraId="30EFA250">
      <w:pPr>
        <w:pStyle w:val="10"/>
        <w:keepNext w:val="0"/>
        <w:keepLines w:val="0"/>
        <w:pageBreakBefore w:val="0"/>
        <w:kinsoku/>
        <w:overflowPunct/>
        <w:topLinePunct w:val="0"/>
        <w:bidi w:val="0"/>
        <w:snapToGrid/>
        <w:spacing w:line="560" w:lineRule="exact"/>
        <w:ind w:firstLine="0" w:firstLineChars="0"/>
        <w:textAlignment w:val="auto"/>
        <w:outlineLvl w:val="1"/>
        <w:rPr>
          <w:rFonts w:ascii="Times New Roman" w:eastAsia="仿宋"/>
          <w:b/>
          <w:bCs/>
          <w:sz w:val="32"/>
          <w:szCs w:val="32"/>
          <w:highlight w:val="none"/>
        </w:rPr>
      </w:pPr>
      <w:r>
        <w:rPr>
          <w:rFonts w:ascii="Times New Roman" w:eastAsia="仿宋"/>
          <w:b/>
          <w:bCs/>
          <w:sz w:val="32"/>
          <w:szCs w:val="32"/>
          <w:highlight w:val="none"/>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highlight w:val="none"/>
        </w:rPr>
      </w:pPr>
      <w:r>
        <w:rPr>
          <w:rFonts w:eastAsia="仿宋"/>
          <w:b/>
          <w:bCs/>
          <w:kern w:val="0"/>
          <w:sz w:val="32"/>
          <w:szCs w:val="32"/>
          <w:highlight w:val="none"/>
        </w:rPr>
        <w:t>1、实用性原则</w:t>
      </w:r>
    </w:p>
    <w:p w14:paraId="096AD80F">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本文件是在充分收集相关资料和文献，分析地中海水牛种公牛饲养管理当前现状，在现有相关地中海水牛种公牛饲养管理要求的基础上，结合编制单位</w:t>
      </w:r>
      <w:r>
        <w:rPr>
          <w:rFonts w:ascii="仿宋_GB2312" w:hAnsi="宋体" w:eastAsia="仿宋_GB2312"/>
          <w:sz w:val="32"/>
          <w:szCs w:val="28"/>
          <w:highlight w:val="none"/>
        </w:rPr>
        <w:t>多年</w:t>
      </w:r>
      <w:r>
        <w:rPr>
          <w:rFonts w:hint="eastAsia" w:ascii="仿宋_GB2312" w:hAnsi="宋体" w:eastAsia="仿宋_GB2312"/>
          <w:sz w:val="32"/>
          <w:szCs w:val="28"/>
          <w:highlight w:val="none"/>
        </w:rPr>
        <w:t>相关经验而总结起草的，符合当前地中海水牛种公牛饲养管理发展的方向，具有较强的实用性和可操作性。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highlight w:val="none"/>
        </w:rPr>
      </w:pPr>
      <w:r>
        <w:rPr>
          <w:rFonts w:hint="eastAsia" w:eastAsia="仿宋"/>
          <w:b/>
          <w:bCs/>
          <w:kern w:val="0"/>
          <w:sz w:val="32"/>
          <w:szCs w:val="32"/>
          <w:highlight w:val="none"/>
        </w:rPr>
        <w:t>2、协调性原则</w:t>
      </w:r>
    </w:p>
    <w:p w14:paraId="18A3383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本文件编写过程中注意了与地中海水牛种公牛饲养管理相关法律法规的协调问题，在内容上与现行法律法规、标准协调一致。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highlight w:val="none"/>
        </w:rPr>
      </w:pPr>
      <w:r>
        <w:rPr>
          <w:rFonts w:hint="eastAsia" w:eastAsia="仿宋"/>
          <w:b/>
          <w:bCs/>
          <w:kern w:val="0"/>
          <w:sz w:val="32"/>
          <w:szCs w:val="32"/>
          <w:highlight w:val="none"/>
        </w:rPr>
        <w:t>3、规范性原则</w:t>
      </w:r>
    </w:p>
    <w:p w14:paraId="3276EBB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highlight w:val="none"/>
        </w:rPr>
      </w:pPr>
      <w:r>
        <w:rPr>
          <w:rFonts w:hint="eastAsia" w:eastAsia="仿宋"/>
          <w:b/>
          <w:bCs/>
          <w:kern w:val="0"/>
          <w:sz w:val="32"/>
          <w:szCs w:val="32"/>
          <w:highlight w:val="none"/>
        </w:rPr>
        <w:t>4、前瞻性原则</w:t>
      </w:r>
    </w:p>
    <w:p w14:paraId="2315C39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文件在兼顾当前区内地中海水牛种公牛饲养管理现实情况的同时，还考虑到了地中海水牛种公牛饲养管理快速发展的趋势和需要，在标准中体现了个别特色性、前瞻性和先进性条款，作为对地中海水牛种公牛饲养管理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highlight w:val="none"/>
        </w:rPr>
      </w:pPr>
      <w:r>
        <w:rPr>
          <w:rFonts w:eastAsia="仿宋"/>
          <w:b/>
          <w:bCs/>
          <w:kern w:val="0"/>
          <w:sz w:val="32"/>
          <w:szCs w:val="32"/>
          <w:highlight w:val="none"/>
        </w:rPr>
        <w:t>（二）编制依据</w:t>
      </w:r>
    </w:p>
    <w:p w14:paraId="03C8CA65">
      <w:pPr>
        <w:keepNext w:val="0"/>
        <w:keepLines w:val="0"/>
        <w:pageBreakBefore w:val="0"/>
        <w:kinsoku/>
        <w:overflowPunct/>
        <w:topLinePunct w:val="0"/>
        <w:bidi w:val="0"/>
        <w:snapToGrid/>
        <w:ind w:firstLine="640" w:firstLineChars="200"/>
        <w:textAlignment w:val="auto"/>
        <w:rPr>
          <w:rFonts w:eastAsia="仿宋"/>
          <w:sz w:val="32"/>
          <w:szCs w:val="32"/>
          <w:highlight w:val="none"/>
        </w:rPr>
      </w:pPr>
      <w:r>
        <w:rPr>
          <w:rFonts w:eastAsia="仿宋"/>
          <w:sz w:val="32"/>
          <w:szCs w:val="32"/>
          <w:highlight w:val="none"/>
        </w:rPr>
        <w:t>本标准严格按照GB/T 1.1—2020《标准化工作导则  第1部分：标准化文件的结构和起草规则》的规则起草，标准主要内容参考相关标准文件并结合起草单位多年的</w:t>
      </w:r>
      <w:r>
        <w:rPr>
          <w:rFonts w:hint="eastAsia" w:eastAsia="仿宋"/>
          <w:sz w:val="32"/>
          <w:szCs w:val="32"/>
          <w:highlight w:val="none"/>
        </w:rPr>
        <w:t>相关</w:t>
      </w:r>
      <w:r>
        <w:rPr>
          <w:rFonts w:eastAsia="仿宋"/>
          <w:sz w:val="32"/>
          <w:szCs w:val="32"/>
          <w:highlight w:val="none"/>
        </w:rPr>
        <w:t>经验</w:t>
      </w:r>
      <w:r>
        <w:rPr>
          <w:rFonts w:hint="eastAsia" w:eastAsia="仿宋"/>
          <w:sz w:val="32"/>
          <w:szCs w:val="32"/>
          <w:highlight w:val="none"/>
        </w:rPr>
        <w:t>和实践</w:t>
      </w:r>
      <w:r>
        <w:rPr>
          <w:rFonts w:eastAsia="仿宋"/>
          <w:sz w:val="32"/>
          <w:szCs w:val="32"/>
          <w:highlight w:val="none"/>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highlight w:val="none"/>
        </w:rPr>
      </w:pPr>
      <w:r>
        <w:rPr>
          <w:rFonts w:eastAsia="仿宋"/>
          <w:b/>
          <w:bCs/>
          <w:kern w:val="0"/>
          <w:sz w:val="32"/>
          <w:szCs w:val="32"/>
          <w:highlight w:val="none"/>
        </w:rPr>
        <w:t>（三）与现行法律、法规的关系，与有关国家标准、行业标准的协调情况</w:t>
      </w:r>
    </w:p>
    <w:p w14:paraId="03FE614D">
      <w:pPr>
        <w:keepNext w:val="0"/>
        <w:keepLines w:val="0"/>
        <w:pageBreakBefore w:val="0"/>
        <w:kinsoku/>
        <w:overflowPunct/>
        <w:topLinePunct w:val="0"/>
        <w:bidi w:val="0"/>
        <w:snapToGrid/>
        <w:ind w:firstLine="640" w:firstLineChars="200"/>
        <w:textAlignment w:val="auto"/>
        <w:rPr>
          <w:rFonts w:eastAsia="仿宋"/>
          <w:sz w:val="32"/>
          <w:szCs w:val="32"/>
          <w:highlight w:val="none"/>
        </w:rPr>
      </w:pPr>
      <w:r>
        <w:rPr>
          <w:rFonts w:hint="eastAsia" w:eastAsia="仿宋"/>
          <w:sz w:val="32"/>
          <w:szCs w:val="32"/>
          <w:highlight w:val="none"/>
        </w:rPr>
        <w:t>本编制工作组承诺本标准内容与各项指标不违反相关法律法规要求，且不低于国家强制性标准、推荐性国家标准和行业标准要求。</w:t>
      </w:r>
    </w:p>
    <w:p w14:paraId="753754A3">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经查阅，与“种公牛饲养”相关的标准</w:t>
      </w:r>
      <w:r>
        <w:rPr>
          <w:rFonts w:hint="eastAsia" w:ascii="仿宋_GB2312" w:hAnsi="宋体"/>
          <w:sz w:val="32"/>
          <w:szCs w:val="28"/>
          <w:highlight w:val="none"/>
          <w:lang w:val="en-US" w:eastAsia="zh-CN"/>
        </w:rPr>
        <w:t>主要有</w:t>
      </w:r>
      <w:r>
        <w:rPr>
          <w:rFonts w:hint="eastAsia" w:ascii="仿宋_GB2312" w:hAnsi="宋体" w:eastAsia="仿宋_GB2312"/>
          <w:sz w:val="32"/>
          <w:szCs w:val="28"/>
          <w:highlight w:val="none"/>
        </w:rPr>
        <w:t>：</w:t>
      </w:r>
    </w:p>
    <w:p w14:paraId="29FA2AD1">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《NY/T 1446-2007  种公牛饲养管理技术规程》《DB12/T 975-2020  荷斯坦种公牛饲养管理技术规程》《T/TLRN 004-2022  科尔沁肉牛种公牛饲养管理技术规程》《DB45/T 913-2013  摩拉水牛、尼里／拉菲水牛种公牛饲养管理技术规范》等</w:t>
      </w:r>
    </w:p>
    <w:p w14:paraId="7FA8BB82">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综上，目前暂无地中海水牛种公牛饲养管理</w:t>
      </w:r>
      <w:r>
        <w:rPr>
          <w:rFonts w:hint="eastAsia" w:ascii="仿宋_GB2312" w:hAnsi="宋体"/>
          <w:sz w:val="32"/>
          <w:szCs w:val="28"/>
          <w:highlight w:val="none"/>
          <w:lang w:val="en-US" w:eastAsia="zh-CN"/>
        </w:rPr>
        <w:t>标准</w:t>
      </w:r>
      <w:r>
        <w:rPr>
          <w:rFonts w:hint="eastAsia" w:ascii="仿宋_GB2312" w:hAnsi="宋体" w:eastAsia="仿宋_GB2312"/>
          <w:sz w:val="32"/>
          <w:szCs w:val="28"/>
          <w:highlight w:val="none"/>
        </w:rPr>
        <w:t>，现行的标准主要针对其他类型的种公牛饲养管理，无法有效指导不同生长阶段的地中海种公牛营养需求，因此有必要制定团体标准《地中海水牛种公牛饲养管理技术规程》。</w:t>
      </w:r>
    </w:p>
    <w:p w14:paraId="14FD2F15">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bookmarkStart w:id="1" w:name="_Toc526940084"/>
      <w:r>
        <w:rPr>
          <w:rFonts w:hint="eastAsia" w:ascii="黑体" w:hAnsi="黑体" w:eastAsia="黑体" w:cs="仿宋_GB2312"/>
          <w:sz w:val="32"/>
          <w:szCs w:val="32"/>
          <w:highlight w:val="none"/>
        </w:rPr>
        <w:t>五、</w:t>
      </w:r>
      <w:bookmarkEnd w:id="1"/>
      <w:r>
        <w:rPr>
          <w:rFonts w:hint="eastAsia" w:ascii="黑体" w:hAnsi="黑体" w:eastAsia="黑体" w:cs="仿宋_GB2312"/>
          <w:sz w:val="32"/>
          <w:szCs w:val="32"/>
          <w:highlight w:val="none"/>
        </w:rPr>
        <w:t>主要条款的说明</w:t>
      </w:r>
    </w:p>
    <w:p w14:paraId="2FA9AC5D">
      <w:pPr>
        <w:keepNext w:val="0"/>
        <w:keepLines w:val="0"/>
        <w:pageBreakBefore w:val="0"/>
        <w:kinsoku/>
        <w:overflowPunct/>
        <w:topLinePunct w:val="0"/>
        <w:bidi w:val="0"/>
        <w:snapToGrid/>
        <w:ind w:firstLine="640" w:firstLineChars="200"/>
        <w:textAlignment w:val="auto"/>
        <w:rPr>
          <w:rFonts w:hint="eastAsia" w:ascii="仿宋_GB2312" w:hAnsi="宋体"/>
          <w:szCs w:val="32"/>
          <w:highlight w:val="none"/>
          <w:lang w:val="zh-CN"/>
        </w:rPr>
      </w:pPr>
      <w:r>
        <w:rPr>
          <w:rFonts w:hint="eastAsia" w:ascii="仿宋_GB2312" w:hAnsi="宋体"/>
          <w:color w:val="auto"/>
          <w:szCs w:val="32"/>
          <w:highlight w:val="none"/>
          <w:lang w:val="zh-CN"/>
        </w:rPr>
        <w:t>广西自2014年起，从澳大利亚引进地中海水牛原种牛饲养，主要养殖基地为广西壮族自治区畜禽品种改良站和广西华胥水牛生物科技有限公司，两个单位签订联合育种协议，共同建立地中海水牛标准化养殖基地。</w:t>
      </w:r>
      <w:r>
        <w:rPr>
          <w:rFonts w:hint="eastAsia" w:ascii="仿宋_GB2312" w:hAnsi="宋体"/>
          <w:szCs w:val="32"/>
          <w:highlight w:val="none"/>
          <w:lang w:val="zh-CN"/>
        </w:rPr>
        <w:t>广西壮族自治区畜禽品种改良站拥有10多年的地中海水牛公牛养殖经验，站内饲养的地中海水牛公牛品种特征明显，体尺、体重等指标符合种用要求，睾丸大而左右对称，精液活力好，冻精产量达145支/次(0.25ml/剂)，较摩拉、尼里-拉菲水牛公牛产量高10支/次(0.25ml/剂)。广西壮族自治区畜禽品种改良站有养殖、疫病诊治、采精、冻精生产等管理记录10年以上，并具有大量生产性能记录(出生重、6月龄、12月龄、24月龄、体高、体长、管围、睾围等)及后裔测定数据。站内饲养地中海水牛种公牛14头，累计生产地中海水牛冻精20万支。</w:t>
      </w:r>
    </w:p>
    <w:p w14:paraId="207AE7F1">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32"/>
          <w:highlight w:val="none"/>
          <w:lang w:val="zh-CN"/>
        </w:rPr>
      </w:pPr>
      <w:r>
        <w:rPr>
          <w:rFonts w:hint="eastAsia" w:ascii="仿宋_GB2312" w:hAnsi="宋体"/>
          <w:szCs w:val="32"/>
          <w:highlight w:val="none"/>
          <w:lang w:val="zh-CN"/>
        </w:rPr>
        <w:t>目前地中海水牛纯种公牛主要在广西壮族自治区畜禽品种改良站、广西皇氏赛尔公司养殖，地中海与本地水牛杂交F1代在来宾、钦州等桂南地区均有分布。</w:t>
      </w:r>
    </w:p>
    <w:p w14:paraId="5003E71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32"/>
          <w:highlight w:val="none"/>
          <w:lang w:val="zh-CN"/>
        </w:rPr>
      </w:pPr>
      <w:r>
        <w:rPr>
          <w:rFonts w:hint="eastAsia" w:ascii="仿宋_GB2312" w:hAnsi="宋体" w:eastAsia="仿宋_GB2312"/>
          <w:sz w:val="32"/>
          <w:szCs w:val="32"/>
          <w:highlight w:val="none"/>
          <w:lang w:val="zh-CN"/>
        </w:rPr>
        <w:t>团体标准《</w:t>
      </w:r>
      <w:r>
        <w:rPr>
          <w:rFonts w:hint="eastAsia" w:ascii="仿宋_GB2312" w:hAnsi="宋体" w:eastAsia="仿宋_GB2312"/>
          <w:sz w:val="32"/>
          <w:szCs w:val="28"/>
          <w:highlight w:val="none"/>
        </w:rPr>
        <w:t>地中海水牛种公牛饲养管理技术规程</w:t>
      </w:r>
      <w:r>
        <w:rPr>
          <w:rFonts w:hint="eastAsia" w:ascii="仿宋_GB2312" w:hAnsi="宋体" w:eastAsia="仿宋_GB2312"/>
          <w:sz w:val="32"/>
          <w:szCs w:val="32"/>
          <w:highlight w:val="none"/>
          <w:lang w:val="zh-CN"/>
        </w:rPr>
        <w:t>》的主要章节内容包括：</w:t>
      </w:r>
      <w:r>
        <w:rPr>
          <w:rFonts w:hint="eastAsia" w:ascii="仿宋_GB2312" w:hAnsi="宋体" w:eastAsia="仿宋_GB2312"/>
          <w:sz w:val="32"/>
          <w:szCs w:val="28"/>
          <w:highlight w:val="none"/>
        </w:rPr>
        <w:t>术语和定义、种公牛饲料、种公牛饲养、种公牛管理</w:t>
      </w:r>
      <w:r>
        <w:rPr>
          <w:rFonts w:hint="eastAsia" w:ascii="仿宋_GB2312" w:hAnsi="宋体"/>
          <w:sz w:val="32"/>
          <w:szCs w:val="28"/>
          <w:highlight w:val="none"/>
          <w:lang w:eastAsia="zh-CN"/>
        </w:rPr>
        <w:t>、技术资料的登记和管理</w:t>
      </w:r>
      <w:r>
        <w:rPr>
          <w:rFonts w:hint="eastAsia" w:ascii="仿宋_GB2312" w:hAnsi="宋体" w:eastAsia="仿宋_GB2312"/>
          <w:sz w:val="32"/>
          <w:szCs w:val="32"/>
          <w:highlight w:val="none"/>
          <w:lang w:val="zh-CN"/>
        </w:rPr>
        <w:t>。本文件主要内容及依据来源说明如下：</w:t>
      </w:r>
    </w:p>
    <w:p w14:paraId="40C50225">
      <w:pPr>
        <w:pStyle w:val="29"/>
        <w:keepNext w:val="0"/>
        <w:keepLines w:val="0"/>
        <w:pageBreakBefore w:val="0"/>
        <w:numPr>
          <w:ilvl w:val="0"/>
          <w:numId w:val="9"/>
        </w:numPr>
        <w:kinsoku/>
        <w:overflowPunct/>
        <w:topLinePunct w:val="0"/>
        <w:autoSpaceDE w:val="0"/>
        <w:autoSpaceDN w:val="0"/>
        <w:bidi w:val="0"/>
        <w:adjustRightInd w:val="0"/>
        <w:snapToGrid/>
        <w:spacing w:line="560" w:lineRule="exact"/>
        <w:ind w:left="1006" w:leftChars="200" w:hanging="366" w:hangingChars="114"/>
        <w:jc w:val="left"/>
        <w:textAlignment w:val="auto"/>
        <w:rPr>
          <w:rFonts w:hint="default" w:ascii="仿宋_GB2312" w:hAnsi="宋体" w:eastAsia="仿宋_GB2312"/>
          <w:b/>
          <w:sz w:val="32"/>
          <w:szCs w:val="32"/>
          <w:highlight w:val="none"/>
          <w:lang w:val="zh-CN"/>
        </w:rPr>
      </w:pPr>
      <w:r>
        <w:rPr>
          <w:rFonts w:hint="default" w:ascii="仿宋_GB2312" w:hAnsi="宋体" w:eastAsia="仿宋_GB2312"/>
          <w:b/>
          <w:sz w:val="32"/>
          <w:szCs w:val="32"/>
          <w:highlight w:val="none"/>
          <w:lang w:val="zh-CN"/>
        </w:rPr>
        <w:t>术语与定义</w:t>
      </w:r>
    </w:p>
    <w:p w14:paraId="2033DACA">
      <w:pPr>
        <w:pStyle w:val="29"/>
        <w:keepNext w:val="0"/>
        <w:keepLines w:val="0"/>
        <w:pageBreakBefore w:val="0"/>
        <w:numPr>
          <w:ilvl w:val="0"/>
          <w:numId w:val="0"/>
        </w:numPr>
        <w:kinsoku/>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eastAsia="仿宋_GB2312"/>
          <w:b/>
          <w:sz w:val="32"/>
          <w:szCs w:val="32"/>
          <w:highlight w:val="none"/>
          <w:lang w:val="en-US" w:eastAsia="zh-CN"/>
        </w:rPr>
      </w:pPr>
      <w:r>
        <w:rPr>
          <w:rFonts w:hint="eastAsia" w:ascii="仿宋_GB2312" w:hAnsi="宋体"/>
          <w:sz w:val="32"/>
          <w:szCs w:val="32"/>
          <w:highlight w:val="none"/>
          <w:lang w:val="en-US" w:eastAsia="zh-CN"/>
        </w:rPr>
        <w:t>“种公牛”术语主要参考《</w:t>
      </w:r>
      <w:r>
        <w:rPr>
          <w:rFonts w:hint="eastAsia" w:ascii="仿宋_GB2312" w:hAnsi="宋体"/>
          <w:spacing w:val="0"/>
          <w:w w:val="100"/>
          <w:sz w:val="28"/>
          <w:szCs w:val="28"/>
          <w:highlight w:val="none"/>
          <w:vertAlign w:val="baseline"/>
          <w:lang w:val="en-US" w:eastAsia="zh-CN"/>
        </w:rPr>
        <w:t>NY/T 1446-2007 种公牛饲养管理技术规程》的定义，并结合地中海水牛实际生长特性划分后背种公牛以及成年种公牛。</w:t>
      </w:r>
    </w:p>
    <w:tbl>
      <w:tblPr>
        <w:tblStyle w:val="7"/>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39C7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0D854EDF">
            <w:pPr>
              <w:keepNext w:val="0"/>
              <w:keepLines w:val="0"/>
              <w:pageBreakBefore w:val="0"/>
              <w:kinsoku/>
              <w:overflowPunct/>
              <w:topLinePunct w:val="0"/>
              <w:bidi w:val="0"/>
              <w:snapToGrid/>
              <w:ind w:left="0" w:leftChars="0" w:firstLine="0" w:firstLineChars="0"/>
              <w:jc w:val="both"/>
              <w:textAlignment w:val="auto"/>
              <w:rPr>
                <w:rFonts w:hint="eastAsia" w:ascii="仿宋_GB2312" w:hAnsi="宋体" w:eastAsia="仿宋_GB2312"/>
                <w:spacing w:val="0"/>
                <w:w w:val="100"/>
                <w:sz w:val="32"/>
                <w:szCs w:val="32"/>
                <w:highlight w:val="none"/>
                <w:vertAlign w:val="baseline"/>
                <w:lang w:val="zh-CN"/>
              </w:rPr>
            </w:pPr>
            <w:r>
              <w:rPr>
                <w:spacing w:val="0"/>
                <w:w w:val="100"/>
              </w:rPr>
              <w:drawing>
                <wp:inline distT="0" distB="0" distL="114300" distR="114300">
                  <wp:extent cx="5377180" cy="1671955"/>
                  <wp:effectExtent l="0" t="0" r="1397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377180" cy="1671955"/>
                          </a:xfrm>
                          <a:prstGeom prst="rect">
                            <a:avLst/>
                          </a:prstGeom>
                          <a:noFill/>
                          <a:ln>
                            <a:noFill/>
                          </a:ln>
                        </pic:spPr>
                      </pic:pic>
                    </a:graphicData>
                  </a:graphic>
                </wp:inline>
              </w:drawing>
            </w:r>
          </w:p>
        </w:tc>
      </w:tr>
      <w:tr w14:paraId="202A1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35771F61">
            <w:pPr>
              <w:pStyle w:val="5"/>
              <w:keepNext w:val="0"/>
              <w:keepLines w:val="0"/>
              <w:widowControl/>
              <w:suppressLineNumbers w:val="0"/>
              <w:spacing w:before="0" w:beforeAutospacing="0" w:after="0" w:afterAutospacing="0"/>
              <w:ind w:left="0" w:right="0" w:firstLine="0"/>
              <w:jc w:val="center"/>
              <w:rPr>
                <w:rFonts w:hint="default" w:ascii="仿宋_GB2312" w:hAnsi="宋体" w:eastAsia="仿宋_GB2312"/>
                <w:spacing w:val="0"/>
                <w:w w:val="100"/>
                <w:sz w:val="32"/>
                <w:szCs w:val="32"/>
                <w:highlight w:val="none"/>
                <w:vertAlign w:val="baseline"/>
                <w:lang w:val="en-US" w:eastAsia="zh-CN"/>
              </w:rPr>
            </w:pPr>
            <w:r>
              <w:rPr>
                <w:rFonts w:hint="eastAsia" w:ascii="仿宋_GB2312" w:hAnsi="宋体"/>
                <w:spacing w:val="0"/>
                <w:w w:val="100"/>
                <w:sz w:val="28"/>
                <w:szCs w:val="28"/>
                <w:highlight w:val="none"/>
                <w:vertAlign w:val="baseline"/>
                <w:lang w:val="en-US" w:eastAsia="zh-CN"/>
              </w:rPr>
              <w:t>来源：NY/T 1446-2007 种公牛饲养管理技术规程</w:t>
            </w:r>
          </w:p>
        </w:tc>
      </w:tr>
    </w:tbl>
    <w:p w14:paraId="1E78AC85">
      <w:pPr>
        <w:pStyle w:val="29"/>
        <w:numPr>
          <w:ilvl w:val="0"/>
          <w:numId w:val="0"/>
        </w:numPr>
        <w:autoSpaceDE w:val="0"/>
        <w:autoSpaceDN w:val="0"/>
        <w:adjustRightInd w:val="0"/>
        <w:spacing w:line="560" w:lineRule="exact"/>
        <w:ind w:left="1006" w:leftChars="200" w:hanging="366" w:hangingChars="114"/>
        <w:jc w:val="left"/>
        <w:rPr>
          <w:rFonts w:hint="default" w:ascii="仿宋_GB2312" w:hAnsi="宋体" w:eastAsia="仿宋_GB2312"/>
          <w:b/>
          <w:sz w:val="32"/>
          <w:szCs w:val="32"/>
          <w:highlight w:val="none"/>
          <w:lang w:val="zh-CN"/>
        </w:rPr>
      </w:pPr>
      <w:r>
        <w:rPr>
          <w:rFonts w:hint="default" w:ascii="仿宋_GB2312" w:hAnsi="宋体" w:eastAsia="仿宋_GB2312" w:cs="Times New Roman"/>
          <w:b/>
          <w:kern w:val="2"/>
          <w:sz w:val="32"/>
          <w:szCs w:val="32"/>
          <w:highlight w:val="none"/>
          <w:lang w:val="zh-CN" w:eastAsia="zh-CN" w:bidi="ar-SA"/>
        </w:rPr>
        <w:t>（</w:t>
      </w:r>
      <w:r>
        <w:rPr>
          <w:rFonts w:hint="default" w:ascii="仿宋_GB2312" w:hAnsi="宋体" w:cs="Times New Roman"/>
          <w:b/>
          <w:kern w:val="2"/>
          <w:sz w:val="32"/>
          <w:szCs w:val="32"/>
          <w:highlight w:val="none"/>
          <w:lang w:val="zh-CN" w:eastAsia="zh-CN" w:bidi="ar-SA"/>
        </w:rPr>
        <w:t>二</w:t>
      </w:r>
      <w:r>
        <w:rPr>
          <w:rFonts w:hint="default" w:ascii="仿宋_GB2312" w:hAnsi="宋体" w:eastAsia="仿宋_GB2312" w:cs="Times New Roman"/>
          <w:b/>
          <w:kern w:val="2"/>
          <w:sz w:val="32"/>
          <w:szCs w:val="32"/>
          <w:highlight w:val="none"/>
          <w:lang w:val="zh-CN" w:eastAsia="zh-CN" w:bidi="ar-SA"/>
        </w:rPr>
        <w:t>）</w:t>
      </w:r>
      <w:r>
        <w:rPr>
          <w:rFonts w:hint="default" w:ascii="仿宋_GB2312" w:hAnsi="宋体" w:eastAsia="仿宋_GB2312"/>
          <w:b/>
          <w:sz w:val="32"/>
          <w:szCs w:val="32"/>
          <w:highlight w:val="none"/>
          <w:lang w:val="zh-CN"/>
        </w:rPr>
        <w:t>种公牛饲料</w:t>
      </w:r>
    </w:p>
    <w:p w14:paraId="7EAC74CE">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2.1精料</w:t>
      </w:r>
    </w:p>
    <w:p w14:paraId="7236EDC3">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种公牛精液品质的好坏会直接影响到精液的生产、种公牛的繁殖性能以及畜禽品改站的经济效益。影响精液品质的因素有很多,包括温度、品种、营养条件、饲养管理等。相关研究表示精液生产能力主要取决于环境,其中最主要的是饲养管理条件。</w:t>
      </w:r>
    </w:p>
    <w:p w14:paraId="4D14BCFC">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eastAsia="zh-CN"/>
        </w:rPr>
        <w:t>粗蛋白≥17%、钙≥0.65%、磷≥0.6%，充足的粗蛋白是精子形成与体细胞修复的关键原料，能保证精子数量和活力，钙磷则可维持骨骼健壮、支撑配种爬跨动作，同时参与精子能量代谢与结构组成，避免因矿物质缺乏导致繁殖性能下降，确保种公牛维持良好体况与配种能力。</w:t>
      </w:r>
    </w:p>
    <w:p w14:paraId="0FC32AB8">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2.2粗饲料</w:t>
      </w:r>
    </w:p>
    <w:p w14:paraId="4DEE602A">
      <w:pPr>
        <w:pStyle w:val="29"/>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left="0" w:leftChars="0" w:firstLine="640" w:firstLineChars="200"/>
        <w:jc w:val="both"/>
        <w:textAlignment w:val="auto"/>
        <w:rPr>
          <w:rFonts w:hint="default" w:ascii="仿宋_GB2312" w:hAnsi="宋体" w:eastAsia="仿宋_GB2312" w:cs="Times New Roman"/>
          <w:kern w:val="2"/>
          <w:sz w:val="32"/>
          <w:szCs w:val="28"/>
          <w:highlight w:val="none"/>
          <w:lang w:val="zh-CN" w:eastAsia="zh-CN" w:bidi="ar-SA"/>
        </w:rPr>
      </w:pPr>
      <w:r>
        <w:rPr>
          <w:rFonts w:hint="default" w:ascii="仿宋_GB2312" w:hAnsi="宋体" w:eastAsia="仿宋_GB2312" w:cs="Times New Roman"/>
          <w:kern w:val="2"/>
          <w:sz w:val="32"/>
          <w:szCs w:val="28"/>
          <w:highlight w:val="none"/>
          <w:lang w:val="zh-CN" w:eastAsia="zh-CN" w:bidi="ar-SA"/>
        </w:rPr>
        <w:t>选用苜蓿草、青贮秸秆、各类牧草等粗饲料一方面是为了给水牛种公牛提供足量粗纤维，维持瘤胃正常发酵和消化功能，防止精料过多引发酸中毒等消化道问题，另一方面优质牧草还能补充天然维生素、矿物质和能量，并要求符合NY/T 1446，兼顾营养全面性与饲喂安全性，保证种公牛消化健康和基础营养稳定。</w:t>
      </w:r>
    </w:p>
    <w:p w14:paraId="02F22FD4">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w:t>
      </w:r>
      <w:r>
        <w:rPr>
          <w:rFonts w:hint="default" w:ascii="仿宋_GB2312" w:hAnsi="宋体"/>
          <w:sz w:val="32"/>
          <w:szCs w:val="28"/>
          <w:highlight w:val="none"/>
          <w:lang w:val="en-US" w:eastAsia="zh-CN"/>
        </w:rPr>
        <w:t>孙乐,刘瑞鑫,许春荣</w:t>
      </w:r>
      <w:r>
        <w:rPr>
          <w:rFonts w:hint="eastAsia" w:ascii="仿宋_GB2312" w:hAnsi="宋体"/>
          <w:sz w:val="32"/>
          <w:szCs w:val="28"/>
          <w:highlight w:val="none"/>
          <w:lang w:val="en-US" w:eastAsia="zh-CN"/>
        </w:rPr>
        <w:t>等，</w:t>
      </w:r>
      <w:r>
        <w:rPr>
          <w:rFonts w:hint="default" w:ascii="仿宋_GB2312" w:hAnsi="宋体"/>
          <w:sz w:val="32"/>
          <w:szCs w:val="28"/>
          <w:highlight w:val="none"/>
          <w:lang w:val="en-US" w:eastAsia="zh-CN"/>
        </w:rPr>
        <w:t>饲养条件对水牛精液品质及精浆代谢物的影响分析</w:t>
      </w:r>
      <w:r>
        <w:rPr>
          <w:rFonts w:hint="eastAsia" w:ascii="仿宋_GB2312" w:hAnsi="宋体"/>
          <w:sz w:val="32"/>
          <w:szCs w:val="28"/>
          <w:highlight w:val="none"/>
          <w:lang w:val="en-US" w:eastAsia="zh-CN"/>
        </w:rPr>
        <w:t>，西南大学学报(自然科学版)》，使用广西壮族自治区畜禽品种改良站饲养的地中海水牛种公牛，通过</w:t>
      </w:r>
      <w:r>
        <w:rPr>
          <w:rFonts w:hint="default" w:ascii="仿宋_GB2312" w:hAnsi="宋体"/>
          <w:sz w:val="32"/>
          <w:szCs w:val="28"/>
          <w:highlight w:val="none"/>
          <w:lang w:val="en-US" w:eastAsia="zh-CN"/>
        </w:rPr>
        <w:t>分析不同饲养条件下种公牛精液质量、生化指标及精浆代谢物,并筛选出不同营养条件下的差异代谢物,为进一步选择优质饲料饲喂种公牛,提高精液产量和质量提供一定的科学依据</w:t>
      </w:r>
      <w:r>
        <w:rPr>
          <w:rFonts w:hint="eastAsia" w:ascii="仿宋_GB2312" w:hAnsi="宋体"/>
          <w:sz w:val="32"/>
          <w:szCs w:val="28"/>
          <w:highlight w:val="none"/>
          <w:lang w:val="en-US" w:eastAsia="zh-CN"/>
        </w:rPr>
        <w:t>。</w:t>
      </w:r>
    </w:p>
    <w:p w14:paraId="493EAC9A">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实验所用地中海种公牛，</w:t>
      </w:r>
      <w:r>
        <w:rPr>
          <w:rFonts w:hint="default" w:ascii="仿宋_GB2312" w:hAnsi="宋体"/>
          <w:sz w:val="32"/>
          <w:szCs w:val="28"/>
          <w:highlight w:val="none"/>
          <w:lang w:val="en-US" w:eastAsia="zh-CN"/>
        </w:rPr>
        <w:t>按照广西畜禽品种改良站种公牛饲养与管理的</w:t>
      </w:r>
      <w:r>
        <w:rPr>
          <w:rFonts w:hint="eastAsia" w:ascii="仿宋_GB2312" w:hAnsi="宋体"/>
          <w:sz w:val="32"/>
          <w:szCs w:val="28"/>
          <w:highlight w:val="none"/>
          <w:lang w:val="en-US" w:eastAsia="zh-CN"/>
        </w:rPr>
        <w:t>要求</w:t>
      </w:r>
      <w:r>
        <w:rPr>
          <w:rFonts w:hint="default" w:ascii="仿宋_GB2312" w:hAnsi="宋体"/>
          <w:sz w:val="32"/>
          <w:szCs w:val="28"/>
          <w:highlight w:val="none"/>
          <w:lang w:val="en-US" w:eastAsia="zh-CN"/>
        </w:rPr>
        <w:t>进行饲养</w:t>
      </w:r>
      <w:r>
        <w:rPr>
          <w:rFonts w:hint="eastAsia" w:ascii="仿宋_GB2312" w:hAnsi="宋体"/>
          <w:sz w:val="32"/>
          <w:szCs w:val="28"/>
          <w:highlight w:val="none"/>
          <w:lang w:val="en-US" w:eastAsia="zh-CN"/>
        </w:rPr>
        <w:t>。</w:t>
      </w:r>
      <w:r>
        <w:rPr>
          <w:rFonts w:hint="default" w:ascii="仿宋_GB2312" w:hAnsi="宋体"/>
          <w:sz w:val="32"/>
          <w:szCs w:val="28"/>
          <w:highlight w:val="none"/>
          <w:lang w:val="en-US" w:eastAsia="zh-CN"/>
        </w:rPr>
        <w:t>根据采精和冻精生产记录,选择采精正常、体况良好的种公牛为试验牛</w:t>
      </w:r>
      <w:r>
        <w:rPr>
          <w:rFonts w:hint="eastAsia" w:ascii="仿宋_GB2312" w:hAnsi="宋体"/>
          <w:sz w:val="32"/>
          <w:szCs w:val="28"/>
          <w:highlight w:val="none"/>
          <w:lang w:val="en-US" w:eastAsia="zh-CN"/>
        </w:rPr>
        <w:t>，</w:t>
      </w:r>
      <w:r>
        <w:rPr>
          <w:rFonts w:hint="default" w:ascii="仿宋_GB2312" w:hAnsi="宋体"/>
          <w:sz w:val="32"/>
          <w:szCs w:val="28"/>
          <w:highlight w:val="none"/>
          <w:lang w:val="en-US" w:eastAsia="zh-CN"/>
        </w:rPr>
        <w:t>分为饲喂青绿饲料GF组、青贮饲料S组</w:t>
      </w:r>
      <w:r>
        <w:rPr>
          <w:rFonts w:hint="eastAsia" w:ascii="仿宋_GB2312" w:hAnsi="宋体"/>
          <w:sz w:val="32"/>
          <w:szCs w:val="28"/>
          <w:highlight w:val="none"/>
          <w:lang w:val="en-US" w:eastAsia="zh-CN"/>
        </w:rPr>
        <w:t>。</w:t>
      </w:r>
    </w:p>
    <w:p w14:paraId="57D88E17">
      <w:pPr>
        <w:keepNext w:val="0"/>
        <w:keepLines w:val="0"/>
        <w:pageBreakBefore w:val="0"/>
        <w:kinsoku/>
        <w:overflowPunct/>
        <w:topLinePunct w:val="0"/>
        <w:bidi w:val="0"/>
        <w:snapToGrid/>
        <w:ind w:firstLine="640" w:firstLineChars="200"/>
        <w:textAlignment w:val="auto"/>
        <w:rPr>
          <w:rFonts w:hint="default" w:ascii="仿宋_GB2312" w:hAnsi="宋体"/>
          <w:sz w:val="32"/>
          <w:szCs w:val="28"/>
          <w:highlight w:val="none"/>
          <w:lang w:val="en-US" w:eastAsia="zh-CN"/>
        </w:rPr>
      </w:pPr>
      <w:r>
        <w:rPr>
          <w:rFonts w:hint="eastAsia" w:ascii="仿宋_GB2312" w:hAnsi="宋体"/>
          <w:sz w:val="32"/>
          <w:szCs w:val="28"/>
          <w:highlight w:val="none"/>
          <w:lang w:val="en-US" w:eastAsia="zh-CN"/>
        </w:rPr>
        <w:t>与青贮饲料组相比,青绿饲料组种公牛精子活力和采精量显著升高,畸形率显著下降(p&lt;0.05),精液pH值和密度没有显著差异(p&gt;0.05)。青绿饲料组精子直线速度(VSL)、曲线速度(VCL)、平均速度(VAP)、鞭打频率(BCF)均显著升高(p&lt;0.05),精子直进性(LIN)和直线性(STR)极显著升高(p&lt;0.01),头部振幅(ALH)没有显著差异(p&gt;0.05)，具体数据见表1。</w:t>
      </w:r>
    </w:p>
    <w:tbl>
      <w:tblPr>
        <w:tblStyle w:val="7"/>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103A0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top"/>
          </w:tcPr>
          <w:p w14:paraId="0E7852E1">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eastAsia="仿宋_GB2312" w:cs="Times New Roman"/>
                <w:b/>
                <w:spacing w:val="0"/>
                <w:w w:val="100"/>
                <w:kern w:val="2"/>
                <w:sz w:val="32"/>
                <w:szCs w:val="32"/>
                <w:highlight w:val="none"/>
                <w:vertAlign w:val="baseline"/>
                <w:lang w:val="zh-CN" w:eastAsia="zh-CN" w:bidi="ar-SA"/>
              </w:rPr>
            </w:pPr>
            <w:r>
              <w:rPr>
                <w:rFonts w:hint="eastAsia" w:ascii="仿宋_GB2312" w:hAnsi="宋体"/>
                <w:spacing w:val="0"/>
                <w:w w:val="100"/>
                <w:sz w:val="28"/>
                <w:szCs w:val="24"/>
                <w:highlight w:val="none"/>
                <w:lang w:val="en-US" w:eastAsia="zh-CN"/>
              </w:rPr>
              <w:t>表1 种公牛精液质量参数</w:t>
            </w:r>
          </w:p>
        </w:tc>
      </w:tr>
      <w:tr w14:paraId="5E382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top"/>
          </w:tcPr>
          <w:p w14:paraId="35ADB3A5">
            <w:pPr>
              <w:pStyle w:val="29"/>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jc w:val="left"/>
              <w:textAlignment w:val="auto"/>
              <w:rPr>
                <w:rFonts w:hint="default" w:ascii="仿宋_GB2312" w:hAnsi="宋体" w:eastAsia="仿宋_GB2312" w:cs="Times New Roman"/>
                <w:b/>
                <w:spacing w:val="0"/>
                <w:w w:val="100"/>
                <w:kern w:val="2"/>
                <w:sz w:val="32"/>
                <w:szCs w:val="32"/>
                <w:highlight w:val="none"/>
                <w:vertAlign w:val="baseline"/>
                <w:lang w:val="zh-CN" w:eastAsia="zh-CN" w:bidi="ar-SA"/>
              </w:rPr>
            </w:pPr>
            <w:r>
              <w:rPr>
                <w:spacing w:val="0"/>
                <w:w w:val="100"/>
              </w:rPr>
              <w:drawing>
                <wp:inline distT="0" distB="0" distL="114300" distR="114300">
                  <wp:extent cx="5687060" cy="2342515"/>
                  <wp:effectExtent l="0" t="0" r="8890" b="63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5687060" cy="2342515"/>
                          </a:xfrm>
                          <a:prstGeom prst="rect">
                            <a:avLst/>
                          </a:prstGeom>
                          <a:noFill/>
                          <a:ln>
                            <a:noFill/>
                          </a:ln>
                        </pic:spPr>
                      </pic:pic>
                    </a:graphicData>
                  </a:graphic>
                </wp:inline>
              </w:drawing>
            </w:r>
          </w:p>
        </w:tc>
      </w:tr>
    </w:tbl>
    <w:p w14:paraId="15DFA656">
      <w:pPr>
        <w:pStyle w:val="29"/>
        <w:numPr>
          <w:ilvl w:val="0"/>
          <w:numId w:val="0"/>
        </w:numPr>
        <w:autoSpaceDE w:val="0"/>
        <w:autoSpaceDN w:val="0"/>
        <w:adjustRightInd w:val="0"/>
        <w:spacing w:line="560" w:lineRule="exact"/>
        <w:ind w:left="1006" w:leftChars="200" w:hanging="366" w:hangingChars="114"/>
        <w:jc w:val="left"/>
        <w:rPr>
          <w:rFonts w:hint="eastAsia" w:ascii="仿宋_GB2312" w:hAnsi="宋体" w:eastAsia="仿宋_GB2312" w:cs="Times New Roman"/>
          <w:b/>
          <w:kern w:val="2"/>
          <w:sz w:val="32"/>
          <w:szCs w:val="32"/>
          <w:highlight w:val="none"/>
          <w:lang w:val="zh-CN" w:eastAsia="zh-CN" w:bidi="ar-SA"/>
        </w:rPr>
      </w:pP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en-US" w:eastAsia="zh-CN" w:bidi="ar-SA"/>
        </w:rPr>
        <w:t>三</w:t>
      </w: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zh-CN" w:eastAsia="zh-CN" w:bidi="ar-SA"/>
        </w:rPr>
        <w:t>种公牛饲养</w:t>
      </w:r>
    </w:p>
    <w:p w14:paraId="287C9BFD">
      <w:pPr>
        <w:keepNext w:val="0"/>
        <w:keepLines w:val="0"/>
        <w:pageBreakBefore w:val="0"/>
        <w:kinsoku/>
        <w:overflowPunct/>
        <w:topLinePunct w:val="0"/>
        <w:bidi w:val="0"/>
        <w:snapToGrid/>
        <w:ind w:firstLine="640" w:firstLineChars="200"/>
        <w:textAlignment w:val="auto"/>
        <w:rPr>
          <w:rFonts w:hint="default" w:ascii="仿宋_GB2312" w:hAnsi="宋体" w:eastAsia="仿宋_GB2312"/>
          <w:sz w:val="32"/>
          <w:szCs w:val="28"/>
          <w:highlight w:val="none"/>
          <w:lang w:val="en-US" w:eastAsia="zh-CN"/>
        </w:rPr>
      </w:pPr>
      <w:r>
        <w:rPr>
          <w:rFonts w:hint="eastAsia" w:ascii="仿宋_GB2312" w:hAnsi="宋体"/>
          <w:sz w:val="32"/>
          <w:szCs w:val="28"/>
          <w:highlight w:val="none"/>
          <w:lang w:val="en-US" w:eastAsia="zh-CN"/>
        </w:rPr>
        <w:t>3.1日粮需求</w:t>
      </w:r>
    </w:p>
    <w:p w14:paraId="7CB52B2F">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highlight w:val="none"/>
          <w:lang w:eastAsia="zh-CN"/>
        </w:rPr>
      </w:pPr>
      <w:r>
        <w:rPr>
          <w:rFonts w:hint="eastAsia" w:ascii="仿宋_GB2312" w:hAnsi="宋体" w:eastAsia="仿宋_GB2312"/>
          <w:sz w:val="32"/>
          <w:szCs w:val="28"/>
          <w:highlight w:val="none"/>
        </w:rPr>
        <w:t>地中海水牛生长发育快，6月龄体重达239.86kg(摩拉水牛123.14kg，尼里-拉菲水牛123.14kg)</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12月龄公牛体重达396.73kg（摩拉水牛279kg，尼里-拉菲水牛287.3kg）；24月龄体重为600kg（摩拉水牛489kg，尼里-拉菲水牛544kg）</w:t>
      </w:r>
      <w:r>
        <w:rPr>
          <w:rFonts w:hint="eastAsia" w:ascii="仿宋_GB2312" w:hAnsi="宋体"/>
          <w:sz w:val="32"/>
          <w:szCs w:val="28"/>
          <w:highlight w:val="none"/>
          <w:lang w:eastAsia="zh-CN"/>
        </w:rPr>
        <w:t>。</w:t>
      </w:r>
    </w:p>
    <w:p w14:paraId="7CD3F48F">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后备种公牛每日精料2～5kg、分2次饲喂</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契合后备种公牛生长发育与性成熟启动的生理需求，足量精料能提供充足蛋白质与能量，支撑其骨骼、肌肉及生殖器官的健康发育，分上、下午各喂1次可保证营养平稳供给，避免一次性过量饲喂导致消化负担或体况失衡，为后续优良的种用性能奠定基础。日粮干物质占体重1.2%～1.5%</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匹配后备公牛营养摄入与消化机能，既能满足其日常生命活动、生长发育的基础营养需求，又不会因干物质过多导致瘤胃容积过大形成“草腹”，影响体姿与配种能力，同时保障消化道健康与营养吸收效率。</w:t>
      </w:r>
    </w:p>
    <w:p w14:paraId="072F703D">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精料干物质占日粮干物质55%～60%</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聚焦后备公牛快速发育与繁殖潜能启动的关键需求，能提供高密度的蛋白质、能量及矿物质，高效满足睾丸发育、性激素合成等生殖系统构建的营养需求，同时搭配一定比例粗料保障瘤胃功能，兼顾生长速度与体质健康，助力后备公牛顺利达到种用标准。后备种公牛日粮干物质营养成分14%～16%的粗蛋白为肌肉、生殖器官组织合成提供核心原料，15%～20%的粗纤维保障瘤胃正常发酵与消化机能，0.45%的钙、0.3%的磷支撑骨骼钙化与生殖细胞代谢，1.5～2个NND的能量单位则满足其生长与发育的能量消耗，全面保障后备公牛健壮体况与繁殖潜力的形成。</w:t>
      </w:r>
    </w:p>
    <w:p w14:paraId="7BA9B32A">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成年种公牛分2次饲喂</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以精粗合理搭配并结合膘情、采精任务、季节调整饲喂，适配成年种公牛繁殖性能发挥与体况维持的核心需求，按需调整可避免能量过高导致过肥、性欲下降，或能量过低影响精液品质，分2次饲喂保障营养稳定供给，同时减少应激，确保成年公牛始终处于适宜采精的健壮体况。成年种公牛日粮干物质营养成分16%的粗蛋白是精子合成、精液分泌的核心原料，满足单次射精约90g粗蛋白的消耗需求；15%～20%的粗纤维维持瘤胃健康，避免酸中毒；0.45%钙、0.3%磷参与精子能量代谢与受精能力；1.5～2个NND能量单位支撑其配种、运动等活动，全面保障成年公牛优质精液产出与持久繁殖力。</w:t>
      </w:r>
    </w:p>
    <w:p w14:paraId="38D99E88">
      <w:pPr>
        <w:keepNext w:val="0"/>
        <w:keepLines w:val="0"/>
        <w:pageBreakBefore w:val="0"/>
        <w:kinsoku/>
        <w:overflowPunct/>
        <w:topLinePunct w:val="0"/>
        <w:bidi w:val="0"/>
        <w:snapToGrid/>
        <w:ind w:firstLine="640" w:firstLineChars="200"/>
        <w:textAlignment w:val="auto"/>
        <w:rPr>
          <w:rFonts w:hint="default" w:ascii="仿宋_GB2312" w:hAnsi="宋体" w:eastAsia="仿宋_GB2312"/>
          <w:sz w:val="32"/>
          <w:szCs w:val="28"/>
          <w:highlight w:val="none"/>
          <w:lang w:val="en-US" w:eastAsia="zh-CN"/>
        </w:rPr>
      </w:pPr>
      <w:r>
        <w:rPr>
          <w:rFonts w:hint="eastAsia" w:ascii="仿宋_GB2312" w:hAnsi="宋体"/>
          <w:sz w:val="32"/>
          <w:szCs w:val="28"/>
          <w:highlight w:val="none"/>
          <w:lang w:val="en-US" w:eastAsia="zh-CN"/>
        </w:rPr>
        <w:t>3.2饲喂要点</w:t>
      </w:r>
    </w:p>
    <w:p w14:paraId="53ED6CC0">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highlight w:val="none"/>
        </w:rPr>
      </w:pPr>
      <w:r>
        <w:rPr>
          <w:rFonts w:hint="eastAsia" w:ascii="仿宋_GB2312" w:hAnsi="宋体" w:eastAsia="仿宋_GB2312"/>
          <w:sz w:val="32"/>
          <w:szCs w:val="28"/>
          <w:highlight w:val="none"/>
        </w:rPr>
        <w:t>从饲料安全与营养精准性双维度保障地中海水牛种公牛的健康与繁殖性能</w:t>
      </w:r>
      <w:r>
        <w:rPr>
          <w:rFonts w:hint="eastAsia" w:ascii="仿宋_GB2312" w:hAnsi="宋体"/>
          <w:sz w:val="32"/>
          <w:szCs w:val="28"/>
          <w:highlight w:val="none"/>
          <w:lang w:eastAsia="zh-CN"/>
        </w:rPr>
        <w:t>，</w:t>
      </w:r>
      <w:r>
        <w:rPr>
          <w:rFonts w:hint="eastAsia" w:ascii="仿宋_GB2312" w:hAnsi="宋体" w:eastAsia="仿宋_GB2312"/>
          <w:sz w:val="32"/>
          <w:szCs w:val="28"/>
          <w:highlight w:val="none"/>
        </w:rPr>
        <w:t>饲喂前检查精料色泽气味、排查粗饲料霉变，是为了从源头杜绝霉菌毒素等有害物质摄入，避免其损伤种公牛脏器、抑制精子生成、降低精液品质，筑牢饲喂安全防线；根据不同体重、年龄阶段提供全价日粮并重点补充微量元素和维生素，则是精准匹配后备公牛生长发育、成年公牛精液生产的差异化生理需求，通过补足锌、硒、维生素等繁殖关键营养素，保障种公牛体况健壮、性欲旺盛、精液品质优良，最大化发挥其种用价值。</w:t>
      </w:r>
    </w:p>
    <w:p w14:paraId="5493120F">
      <w:pPr>
        <w:pStyle w:val="29"/>
        <w:numPr>
          <w:ilvl w:val="0"/>
          <w:numId w:val="0"/>
        </w:numPr>
        <w:autoSpaceDE w:val="0"/>
        <w:autoSpaceDN w:val="0"/>
        <w:adjustRightInd w:val="0"/>
        <w:spacing w:line="560" w:lineRule="exact"/>
        <w:ind w:left="1006" w:leftChars="200" w:hanging="366" w:hangingChars="114"/>
        <w:jc w:val="left"/>
        <w:rPr>
          <w:rFonts w:hint="eastAsia" w:ascii="仿宋_GB2312" w:hAnsi="宋体" w:eastAsia="仿宋_GB2312" w:cs="Times New Roman"/>
          <w:b/>
          <w:kern w:val="2"/>
          <w:sz w:val="32"/>
          <w:szCs w:val="32"/>
          <w:highlight w:val="none"/>
          <w:lang w:val="zh-CN" w:eastAsia="zh-CN" w:bidi="ar-SA"/>
        </w:rPr>
      </w:pP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en-US" w:eastAsia="zh-CN" w:bidi="ar-SA"/>
        </w:rPr>
        <w:t>四</w:t>
      </w: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zh-CN" w:eastAsia="zh-CN" w:bidi="ar-SA"/>
        </w:rPr>
        <w:t>种公牛管理</w:t>
      </w:r>
    </w:p>
    <w:p w14:paraId="6808A0B2">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val="en-US" w:eastAsia="zh-CN"/>
        </w:rPr>
      </w:pPr>
      <w:r>
        <w:rPr>
          <w:rFonts w:hint="eastAsia" w:ascii="仿宋_GB2312" w:hAnsi="宋体"/>
          <w:sz w:val="32"/>
          <w:szCs w:val="28"/>
          <w:highlight w:val="none"/>
          <w:lang w:val="en-US" w:eastAsia="zh-CN"/>
        </w:rPr>
        <w:t>4.1卫生防疫</w:t>
      </w:r>
    </w:p>
    <w:p w14:paraId="4FE37A89">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eastAsia="zh-CN"/>
        </w:rPr>
        <w:t>涵盖从环境卫生到个体护理的</w:t>
      </w:r>
      <w:r>
        <w:rPr>
          <w:rFonts w:hint="eastAsia" w:ascii="仿宋_GB2312" w:hAnsi="宋体"/>
          <w:sz w:val="32"/>
          <w:szCs w:val="28"/>
          <w:highlight w:val="none"/>
          <w:lang w:val="en-US" w:eastAsia="zh-CN"/>
        </w:rPr>
        <w:t>各方面</w:t>
      </w:r>
      <w:r>
        <w:rPr>
          <w:rFonts w:hint="eastAsia" w:ascii="仿宋_GB2312" w:hAnsi="宋体"/>
          <w:sz w:val="32"/>
          <w:szCs w:val="28"/>
          <w:highlight w:val="none"/>
          <w:lang w:eastAsia="zh-CN"/>
        </w:rPr>
        <w:t>，通过系统化的管理手段，维护种公牛的运动机能、肢蹄健康、情绪稳定，从而实现其利用价值的最大化。卫生防疫制度（巡视、免疫、隔离）构建了生物安全屏障。</w:t>
      </w:r>
    </w:p>
    <w:tbl>
      <w:tblPr>
        <w:tblStyle w:val="7"/>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7AE3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4CB18384">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spacing w:val="0"/>
                <w:w w:val="100"/>
                <w:sz w:val="32"/>
                <w:szCs w:val="32"/>
                <w:highlight w:val="none"/>
                <w:vertAlign w:val="baseline"/>
                <w:lang w:val="zh-CN"/>
              </w:rPr>
            </w:pPr>
            <w:r>
              <w:drawing>
                <wp:inline distT="0" distB="0" distL="114300" distR="114300">
                  <wp:extent cx="2160270" cy="1527175"/>
                  <wp:effectExtent l="0" t="0" r="11430" b="158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a:off x="0" y="0"/>
                            <a:ext cx="2160270" cy="1527175"/>
                          </a:xfrm>
                          <a:prstGeom prst="rect">
                            <a:avLst/>
                          </a:prstGeom>
                          <a:noFill/>
                          <a:ln>
                            <a:noFill/>
                          </a:ln>
                        </pic:spPr>
                      </pic:pic>
                    </a:graphicData>
                  </a:graphic>
                </wp:inline>
              </w:drawing>
            </w:r>
          </w:p>
        </w:tc>
      </w:tr>
      <w:tr w14:paraId="1023B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00814EEF">
            <w:pPr>
              <w:pStyle w:val="5"/>
              <w:keepNext w:val="0"/>
              <w:keepLines w:val="0"/>
              <w:widowControl/>
              <w:suppressLineNumbers w:val="0"/>
              <w:spacing w:before="0" w:beforeAutospacing="0" w:after="0" w:afterAutospacing="0"/>
              <w:ind w:left="0" w:right="0" w:firstLine="0"/>
              <w:jc w:val="center"/>
              <w:rPr>
                <w:rFonts w:hint="default" w:ascii="仿宋_GB2312" w:hAnsi="宋体" w:eastAsia="仿宋_GB2312"/>
                <w:spacing w:val="0"/>
                <w:w w:val="100"/>
                <w:sz w:val="32"/>
                <w:szCs w:val="32"/>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种公牛舍</w:t>
            </w:r>
          </w:p>
        </w:tc>
      </w:tr>
    </w:tbl>
    <w:p w14:paraId="394FFD47">
      <w:pPr>
        <w:keepNext w:val="0"/>
        <w:keepLines w:val="0"/>
        <w:pageBreakBefore w:val="0"/>
        <w:kinsoku/>
        <w:overflowPunct/>
        <w:topLinePunct w:val="0"/>
        <w:bidi w:val="0"/>
        <w:snapToGrid/>
        <w:ind w:firstLine="640" w:firstLineChars="200"/>
        <w:textAlignment w:val="auto"/>
        <w:rPr>
          <w:rFonts w:hint="default" w:ascii="仿宋_GB2312" w:hAnsi="宋体"/>
          <w:sz w:val="32"/>
          <w:szCs w:val="28"/>
          <w:highlight w:val="none"/>
          <w:lang w:val="en-US" w:eastAsia="zh-CN"/>
        </w:rPr>
      </w:pPr>
      <w:r>
        <w:rPr>
          <w:rFonts w:hint="eastAsia" w:ascii="仿宋_GB2312" w:hAnsi="宋体"/>
          <w:sz w:val="32"/>
          <w:szCs w:val="28"/>
          <w:highlight w:val="none"/>
          <w:lang w:val="en-US" w:eastAsia="zh-CN"/>
        </w:rPr>
        <w:t>4.2种公牛运动、刷拭、修蹄、沐浴</w:t>
      </w:r>
    </w:p>
    <w:p w14:paraId="5572480C">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eastAsia="zh-CN"/>
        </w:rPr>
        <w:t>强制运动、定期修蹄、夏季淋浴与游泳，则是针对水牛怕热、易胖、肢蹄易损的生理特点设计的强化护理措施。</w:t>
      </w:r>
    </w:p>
    <w:p w14:paraId="1A82D993">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p>
    <w:tbl>
      <w:tblPr>
        <w:tblStyle w:val="7"/>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5759A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381C593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spacing w:val="0"/>
                <w:w w:val="100"/>
                <w:sz w:val="32"/>
                <w:szCs w:val="32"/>
                <w:highlight w:val="none"/>
                <w:vertAlign w:val="baseline"/>
                <w:lang w:val="zh-CN"/>
              </w:rPr>
            </w:pPr>
            <w:r>
              <w:drawing>
                <wp:inline distT="0" distB="0" distL="114300" distR="114300">
                  <wp:extent cx="2160270" cy="1931035"/>
                  <wp:effectExtent l="0" t="0" r="11430"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2160270" cy="1931035"/>
                          </a:xfrm>
                          <a:prstGeom prst="rect">
                            <a:avLst/>
                          </a:prstGeom>
                          <a:noFill/>
                          <a:ln>
                            <a:noFill/>
                          </a:ln>
                        </pic:spPr>
                      </pic:pic>
                    </a:graphicData>
                  </a:graphic>
                </wp:inline>
              </w:drawing>
            </w:r>
          </w:p>
        </w:tc>
        <w:tc>
          <w:tcPr>
            <w:tcW w:w="4587" w:type="dxa"/>
            <w:vAlign w:val="center"/>
          </w:tcPr>
          <w:p w14:paraId="25EC1F86">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943100"/>
                  <wp:effectExtent l="0" t="0" r="1143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1"/>
                          <a:stretch>
                            <a:fillRect/>
                          </a:stretch>
                        </pic:blipFill>
                        <pic:spPr>
                          <a:xfrm>
                            <a:off x="0" y="0"/>
                            <a:ext cx="2160270" cy="1943100"/>
                          </a:xfrm>
                          <a:prstGeom prst="rect">
                            <a:avLst/>
                          </a:prstGeom>
                          <a:noFill/>
                          <a:ln>
                            <a:noFill/>
                          </a:ln>
                        </pic:spPr>
                      </pic:pic>
                    </a:graphicData>
                  </a:graphic>
                </wp:inline>
              </w:drawing>
            </w:r>
          </w:p>
        </w:tc>
      </w:tr>
      <w:tr w14:paraId="718CB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61059788">
            <w:pPr>
              <w:pStyle w:val="5"/>
              <w:keepNext w:val="0"/>
              <w:keepLines w:val="0"/>
              <w:widowControl/>
              <w:suppressLineNumbers w:val="0"/>
              <w:spacing w:before="0" w:beforeAutospacing="0" w:after="0" w:afterAutospacing="0"/>
              <w:ind w:left="0" w:right="0" w:firstLine="0"/>
              <w:jc w:val="center"/>
              <w:rPr>
                <w:rFonts w:hint="default" w:ascii="仿宋_GB2312" w:hAnsi="宋体" w:eastAsia="仿宋_GB2312"/>
                <w:spacing w:val="0"/>
                <w:w w:val="100"/>
                <w:sz w:val="32"/>
                <w:szCs w:val="32"/>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种公牛喷淋</w:t>
            </w:r>
          </w:p>
        </w:tc>
        <w:tc>
          <w:tcPr>
            <w:tcW w:w="4587" w:type="dxa"/>
            <w:vAlign w:val="center"/>
          </w:tcPr>
          <w:p w14:paraId="6F808CB1">
            <w:pPr>
              <w:pStyle w:val="5"/>
              <w:keepNext w:val="0"/>
              <w:keepLines w:val="0"/>
              <w:widowControl/>
              <w:suppressLineNumbers w:val="0"/>
              <w:spacing w:before="0" w:beforeAutospacing="0" w:after="0" w:afterAutospacing="0"/>
              <w:ind w:left="0" w:right="0" w:firstLine="0"/>
              <w:jc w:val="center"/>
              <w:rPr>
                <w:rFonts w:hint="eastAsia" w:ascii="仿宋_GB2312" w:hAnsi="宋体"/>
                <w:spacing w:val="0"/>
                <w:w w:val="100"/>
                <w:sz w:val="28"/>
                <w:szCs w:val="28"/>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种公牛泳池</w:t>
            </w:r>
          </w:p>
        </w:tc>
      </w:tr>
      <w:tr w14:paraId="2507B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1F137621">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8"/>
                <w:szCs w:val="28"/>
                <w:highlight w:val="none"/>
                <w:vertAlign w:val="baseline"/>
                <w:lang w:val="en-US" w:eastAsia="zh-CN"/>
              </w:rPr>
            </w:pPr>
            <w:r>
              <w:drawing>
                <wp:inline distT="0" distB="0" distL="114300" distR="114300">
                  <wp:extent cx="2160270" cy="1804670"/>
                  <wp:effectExtent l="0" t="0" r="11430" b="508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2"/>
                          <a:stretch>
                            <a:fillRect/>
                          </a:stretch>
                        </pic:blipFill>
                        <pic:spPr>
                          <a:xfrm>
                            <a:off x="0" y="0"/>
                            <a:ext cx="2160270" cy="1804670"/>
                          </a:xfrm>
                          <a:prstGeom prst="rect">
                            <a:avLst/>
                          </a:prstGeom>
                          <a:noFill/>
                          <a:ln>
                            <a:noFill/>
                          </a:ln>
                        </pic:spPr>
                      </pic:pic>
                    </a:graphicData>
                  </a:graphic>
                </wp:inline>
              </w:drawing>
            </w:r>
          </w:p>
        </w:tc>
        <w:tc>
          <w:tcPr>
            <w:tcW w:w="4587" w:type="dxa"/>
            <w:vAlign w:val="center"/>
          </w:tcPr>
          <w:p w14:paraId="33963695">
            <w:pPr>
              <w:pStyle w:val="5"/>
              <w:keepNext w:val="0"/>
              <w:keepLines w:val="0"/>
              <w:widowControl/>
              <w:suppressLineNumbers w:val="0"/>
              <w:spacing w:before="0" w:beforeAutospacing="0" w:after="0" w:afterAutospacing="0"/>
              <w:ind w:left="0" w:leftChars="0" w:right="0" w:firstLine="0" w:firstLineChars="0"/>
              <w:jc w:val="center"/>
            </w:pPr>
            <w:r>
              <w:drawing>
                <wp:inline distT="0" distB="0" distL="114300" distR="114300">
                  <wp:extent cx="2160270" cy="1377315"/>
                  <wp:effectExtent l="0" t="0" r="11430" b="1333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a:off x="0" y="0"/>
                            <a:ext cx="2160270" cy="1377315"/>
                          </a:xfrm>
                          <a:prstGeom prst="rect">
                            <a:avLst/>
                          </a:prstGeom>
                          <a:noFill/>
                          <a:ln>
                            <a:noFill/>
                          </a:ln>
                        </pic:spPr>
                      </pic:pic>
                    </a:graphicData>
                  </a:graphic>
                </wp:inline>
              </w:drawing>
            </w:r>
          </w:p>
        </w:tc>
      </w:tr>
      <w:tr w14:paraId="1D15C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vAlign w:val="center"/>
          </w:tcPr>
          <w:p w14:paraId="223C7EEC">
            <w:pPr>
              <w:pStyle w:val="5"/>
              <w:keepNext w:val="0"/>
              <w:keepLines w:val="0"/>
              <w:widowControl/>
              <w:suppressLineNumbers w:val="0"/>
              <w:spacing w:before="0" w:beforeAutospacing="0" w:after="0" w:afterAutospacing="0"/>
              <w:ind w:left="0" w:right="0" w:firstLine="0"/>
              <w:jc w:val="center"/>
              <w:rPr>
                <w:rFonts w:hint="default" w:ascii="仿宋_GB2312" w:hAnsi="宋体"/>
                <w:spacing w:val="0"/>
                <w:w w:val="100"/>
                <w:sz w:val="28"/>
                <w:szCs w:val="28"/>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旋转运动场</w:t>
            </w:r>
          </w:p>
        </w:tc>
        <w:tc>
          <w:tcPr>
            <w:tcW w:w="4587" w:type="dxa"/>
            <w:vAlign w:val="center"/>
          </w:tcPr>
          <w:p w14:paraId="123C9AC4">
            <w:pPr>
              <w:pStyle w:val="5"/>
              <w:keepNext w:val="0"/>
              <w:keepLines w:val="0"/>
              <w:widowControl/>
              <w:suppressLineNumbers w:val="0"/>
              <w:spacing w:before="0" w:beforeAutospacing="0" w:after="0" w:afterAutospacing="0"/>
              <w:ind w:left="0" w:right="0" w:firstLine="0"/>
              <w:jc w:val="center"/>
              <w:rPr>
                <w:rFonts w:hint="eastAsia" w:ascii="仿宋_GB2312" w:hAnsi="宋体"/>
                <w:spacing w:val="0"/>
                <w:w w:val="100"/>
                <w:sz w:val="28"/>
                <w:szCs w:val="28"/>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穿牛鼻</w:t>
            </w:r>
          </w:p>
        </w:tc>
      </w:tr>
    </w:tbl>
    <w:p w14:paraId="5C17DAC2">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val="en-US" w:eastAsia="zh-CN"/>
        </w:rPr>
        <w:t>4.3</w:t>
      </w:r>
      <w:r>
        <w:rPr>
          <w:rFonts w:hint="eastAsia" w:ascii="仿宋_GB2312" w:hAnsi="宋体"/>
          <w:sz w:val="32"/>
          <w:szCs w:val="28"/>
          <w:highlight w:val="none"/>
          <w:lang w:eastAsia="zh-CN"/>
        </w:rPr>
        <w:t>人、牛亲和训练</w:t>
      </w:r>
    </w:p>
    <w:p w14:paraId="005D1EF4">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eastAsia="zh-CN"/>
        </w:rPr>
        <w:t>“人牛亲和训练”和“固定人员管理”则是出于安全考虑，通过建立信任来降低饲养大型种公牛的风险，使其在采精等操作中更顺从。</w:t>
      </w:r>
    </w:p>
    <w:tbl>
      <w:tblPr>
        <w:tblStyle w:val="7"/>
        <w:tblW w:w="9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473B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9174" w:type="dxa"/>
            <w:vAlign w:val="center"/>
          </w:tcPr>
          <w:p w14:paraId="7F32E47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spacing w:val="0"/>
                <w:w w:val="100"/>
                <w:sz w:val="32"/>
                <w:szCs w:val="32"/>
                <w:highlight w:val="none"/>
                <w:vertAlign w:val="baseline"/>
                <w:lang w:val="zh-CN"/>
              </w:rPr>
            </w:pPr>
            <w:r>
              <w:drawing>
                <wp:inline distT="0" distB="0" distL="114300" distR="114300">
                  <wp:extent cx="1889760" cy="1735455"/>
                  <wp:effectExtent l="0" t="0" r="15240" b="171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1889760" cy="1735455"/>
                          </a:xfrm>
                          <a:prstGeom prst="rect">
                            <a:avLst/>
                          </a:prstGeom>
                          <a:noFill/>
                          <a:ln>
                            <a:noFill/>
                          </a:ln>
                        </pic:spPr>
                      </pic:pic>
                    </a:graphicData>
                  </a:graphic>
                </wp:inline>
              </w:drawing>
            </w:r>
          </w:p>
        </w:tc>
      </w:tr>
      <w:tr w14:paraId="38A7F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vAlign w:val="center"/>
          </w:tcPr>
          <w:p w14:paraId="724EC75E">
            <w:pPr>
              <w:pStyle w:val="5"/>
              <w:keepNext w:val="0"/>
              <w:keepLines w:val="0"/>
              <w:widowControl/>
              <w:suppressLineNumbers w:val="0"/>
              <w:spacing w:before="0" w:beforeAutospacing="0" w:after="0" w:afterAutospacing="0"/>
              <w:ind w:left="0" w:right="0" w:firstLine="0"/>
              <w:jc w:val="center"/>
              <w:rPr>
                <w:rFonts w:hint="default" w:ascii="仿宋_GB2312" w:hAnsi="宋体" w:eastAsia="仿宋_GB2312"/>
                <w:spacing w:val="0"/>
                <w:w w:val="100"/>
                <w:sz w:val="32"/>
                <w:szCs w:val="32"/>
                <w:highlight w:val="none"/>
                <w:vertAlign w:val="baseline"/>
                <w:lang w:val="en-US" w:eastAsia="zh-CN"/>
              </w:rPr>
            </w:pPr>
            <w:r>
              <w:rPr>
                <w:rFonts w:hint="eastAsia" w:ascii="仿宋_GB2312" w:hAnsi="宋体"/>
                <w:spacing w:val="0"/>
                <w:w w:val="100"/>
                <w:sz w:val="28"/>
                <w:szCs w:val="28"/>
                <w:highlight w:val="none"/>
                <w:vertAlign w:val="baseline"/>
                <w:lang w:val="en-US" w:eastAsia="zh-CN"/>
              </w:rPr>
              <w:t>图 种公牛采精</w:t>
            </w:r>
          </w:p>
        </w:tc>
      </w:tr>
    </w:tbl>
    <w:p w14:paraId="3C094B2F">
      <w:pPr>
        <w:keepNext w:val="0"/>
        <w:keepLines w:val="0"/>
        <w:pageBreakBefore w:val="0"/>
        <w:kinsoku/>
        <w:overflowPunct/>
        <w:topLinePunct w:val="0"/>
        <w:bidi w:val="0"/>
        <w:snapToGrid/>
        <w:ind w:firstLine="640" w:firstLineChars="200"/>
        <w:textAlignment w:val="auto"/>
        <w:rPr>
          <w:rFonts w:hint="eastAsia"/>
          <w:lang w:val="en-US" w:eastAsia="zh-CN"/>
        </w:rPr>
      </w:pPr>
      <w:r>
        <w:rPr>
          <w:rFonts w:hint="eastAsia"/>
          <w:lang w:val="en-US" w:eastAsia="zh-CN"/>
        </w:rPr>
        <w:t>种公牛精细化管理前后，精子活力变化情况见下表。2018年14头采精公牛全年采精713头次，生产合格冻精77270支。2019年14头采精公牛全年采精878头次，同比提高23.1%;生产合格冻精124320支，同比提高60.9%。</w:t>
      </w:r>
    </w:p>
    <w:p w14:paraId="44601C44">
      <w:pPr>
        <w:keepNext w:val="0"/>
        <w:keepLines w:val="0"/>
        <w:pageBreakBefore w:val="0"/>
        <w:kinsoku/>
        <w:overflowPunct/>
        <w:topLinePunct w:val="0"/>
        <w:bidi w:val="0"/>
        <w:snapToGrid/>
        <w:ind w:left="0" w:leftChars="0" w:firstLine="0" w:firstLineChars="0"/>
        <w:jc w:val="center"/>
        <w:textAlignment w:val="auto"/>
        <w:rPr>
          <w:rFonts w:hint="default"/>
          <w:sz w:val="28"/>
          <w:szCs w:val="22"/>
          <w:lang w:val="en-US" w:eastAsia="zh-CN"/>
        </w:rPr>
      </w:pPr>
      <w:r>
        <w:rPr>
          <w:rFonts w:hint="eastAsia"/>
          <w:sz w:val="28"/>
          <w:szCs w:val="22"/>
          <w:lang w:val="en-US" w:eastAsia="zh-CN"/>
        </w:rPr>
        <w:t>表2 地中海牛冷冻精液生产情况的前后对比</w:t>
      </w:r>
    </w:p>
    <w:p w14:paraId="68710943">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5684520" cy="621030"/>
            <wp:effectExtent l="0" t="0" r="11430" b="762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5"/>
                    <a:stretch>
                      <a:fillRect/>
                    </a:stretch>
                  </pic:blipFill>
                  <pic:spPr>
                    <a:xfrm>
                      <a:off x="0" y="0"/>
                      <a:ext cx="5684520" cy="621030"/>
                    </a:xfrm>
                    <a:prstGeom prst="rect">
                      <a:avLst/>
                    </a:prstGeom>
                    <a:noFill/>
                    <a:ln>
                      <a:noFill/>
                    </a:ln>
                  </pic:spPr>
                </pic:pic>
              </a:graphicData>
            </a:graphic>
          </wp:inline>
        </w:drawing>
      </w:r>
    </w:p>
    <w:p w14:paraId="5EC8E30F">
      <w:pPr>
        <w:pStyle w:val="29"/>
        <w:numPr>
          <w:ilvl w:val="0"/>
          <w:numId w:val="0"/>
        </w:numPr>
        <w:autoSpaceDE w:val="0"/>
        <w:autoSpaceDN w:val="0"/>
        <w:adjustRightInd w:val="0"/>
        <w:spacing w:line="560" w:lineRule="exact"/>
        <w:ind w:left="1006" w:leftChars="200" w:hanging="366" w:hangingChars="114"/>
        <w:jc w:val="left"/>
        <w:rPr>
          <w:rFonts w:hint="eastAsia" w:ascii="仿宋_GB2312" w:hAnsi="宋体" w:eastAsia="仿宋_GB2312" w:cs="Times New Roman"/>
          <w:b/>
          <w:kern w:val="2"/>
          <w:sz w:val="32"/>
          <w:szCs w:val="32"/>
          <w:highlight w:val="none"/>
          <w:lang w:val="zh-CN" w:eastAsia="zh-CN" w:bidi="ar-SA"/>
        </w:rPr>
      </w:pP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en-US" w:eastAsia="zh-CN" w:bidi="ar-SA"/>
        </w:rPr>
        <w:t>五</w:t>
      </w:r>
      <w:r>
        <w:rPr>
          <w:rFonts w:hint="default" w:ascii="仿宋_GB2312" w:hAnsi="宋体" w:eastAsia="仿宋_GB2312" w:cs="Times New Roman"/>
          <w:b/>
          <w:kern w:val="2"/>
          <w:sz w:val="32"/>
          <w:szCs w:val="32"/>
          <w:highlight w:val="none"/>
          <w:lang w:val="zh-CN" w:eastAsia="zh-CN" w:bidi="ar-SA"/>
        </w:rPr>
        <w:t>）</w:t>
      </w:r>
      <w:r>
        <w:rPr>
          <w:rFonts w:hint="eastAsia" w:ascii="仿宋_GB2312" w:hAnsi="宋体" w:eastAsia="仿宋_GB2312" w:cs="Times New Roman"/>
          <w:b/>
          <w:kern w:val="2"/>
          <w:sz w:val="32"/>
          <w:szCs w:val="32"/>
          <w:highlight w:val="none"/>
          <w:lang w:val="zh-CN" w:eastAsia="zh-CN" w:bidi="ar-SA"/>
        </w:rPr>
        <w:t>技术资料的登记和管理</w:t>
      </w:r>
    </w:p>
    <w:p w14:paraId="31656A99">
      <w:pPr>
        <w:keepNext w:val="0"/>
        <w:keepLines w:val="0"/>
        <w:pageBreakBefore w:val="0"/>
        <w:kinsoku/>
        <w:overflowPunct/>
        <w:topLinePunct w:val="0"/>
        <w:bidi w:val="0"/>
        <w:snapToGrid/>
        <w:ind w:firstLine="640" w:firstLineChars="200"/>
        <w:textAlignment w:val="auto"/>
        <w:rPr>
          <w:rFonts w:hint="eastAsia" w:ascii="仿宋_GB2312" w:hAnsi="宋体"/>
          <w:sz w:val="32"/>
          <w:szCs w:val="28"/>
          <w:highlight w:val="none"/>
          <w:lang w:eastAsia="zh-CN"/>
        </w:rPr>
      </w:pPr>
      <w:r>
        <w:rPr>
          <w:rFonts w:hint="eastAsia" w:ascii="仿宋_GB2312" w:hAnsi="宋体"/>
          <w:sz w:val="32"/>
          <w:szCs w:val="28"/>
          <w:highlight w:val="none"/>
          <w:lang w:eastAsia="zh-CN"/>
        </w:rPr>
        <w:t>按NY/T 1446的规定进行记录，建立种公牛的“全生命周期档案”。通过记录生长性能（体重、睾围）、采精频率、精液品质、免疫情况等数据，可以分析每头公牛的繁殖潜力与健康趋势，为选种选配、淘汰更新以及营养调整提供客观依据，将经验型管理提升为数据驱动的精细化管理。</w:t>
      </w:r>
    </w:p>
    <w:p w14:paraId="412D30F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bookmarkStart w:id="2" w:name="_Toc526940086"/>
      <w:r>
        <w:rPr>
          <w:rFonts w:hint="eastAsia" w:ascii="黑体" w:hAnsi="黑体" w:eastAsia="黑体" w:cs="仿宋_GB2312"/>
          <w:sz w:val="32"/>
          <w:szCs w:val="32"/>
          <w:highlight w:val="none"/>
        </w:rPr>
        <w:t>六、</w:t>
      </w:r>
      <w:bookmarkEnd w:id="2"/>
      <w:r>
        <w:rPr>
          <w:rFonts w:hint="eastAsia" w:ascii="黑体" w:hAnsi="黑体" w:eastAsia="黑体" w:cs="仿宋_GB2312"/>
          <w:sz w:val="32"/>
          <w:szCs w:val="32"/>
          <w:highlight w:val="none"/>
        </w:rPr>
        <w:t>重大分歧意见的处理经过和依据</w:t>
      </w:r>
    </w:p>
    <w:p w14:paraId="7DBD7D8D">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r>
        <w:rPr>
          <w:rFonts w:hint="eastAsia" w:ascii="黑体" w:hAnsi="黑体" w:eastAsia="黑体" w:cs="仿宋_GB2312"/>
          <w:sz w:val="32"/>
          <w:szCs w:val="32"/>
          <w:highlight w:val="none"/>
        </w:rPr>
        <w:t>七</w:t>
      </w:r>
      <w:r>
        <w:rPr>
          <w:rFonts w:ascii="黑体" w:hAnsi="黑体" w:eastAsia="黑体" w:cs="仿宋_GB2312"/>
          <w:sz w:val="32"/>
          <w:szCs w:val="32"/>
          <w:highlight w:val="none"/>
        </w:rPr>
        <w:t>、</w:t>
      </w:r>
      <w:r>
        <w:rPr>
          <w:rFonts w:hint="eastAsia" w:ascii="黑体" w:hAnsi="黑体" w:eastAsia="黑体" w:cs="仿宋_GB2312"/>
          <w:sz w:val="32"/>
          <w:szCs w:val="32"/>
          <w:highlight w:val="none"/>
        </w:rPr>
        <w:t>实施标准的措施</w:t>
      </w:r>
    </w:p>
    <w:p w14:paraId="67C45D00">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highlight w:val="none"/>
        </w:rPr>
      </w:pPr>
      <w:r>
        <w:rPr>
          <w:rFonts w:hint="eastAsia" w:ascii="仿宋_GB2312" w:hAnsi="宋体" w:eastAsia="仿宋_GB2312"/>
          <w:b/>
          <w:sz w:val="32"/>
          <w:szCs w:val="28"/>
          <w:highlight w:val="none"/>
        </w:rPr>
        <w:t>（一）标准报批发布后，成立标准宣贯工作组</w:t>
      </w:r>
    </w:p>
    <w:p w14:paraId="7330B5F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highlight w:val="none"/>
        </w:rPr>
      </w:pPr>
      <w:r>
        <w:rPr>
          <w:rFonts w:hint="eastAsia" w:ascii="仿宋_GB2312" w:hAnsi="宋体" w:eastAsia="仿宋_GB2312"/>
          <w:b/>
          <w:sz w:val="32"/>
          <w:szCs w:val="28"/>
          <w:highlight w:val="none"/>
        </w:rPr>
        <w:t>（二）组织开展标准宣贯培训</w:t>
      </w:r>
    </w:p>
    <w:p w14:paraId="38C99CE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标准发布实施后，标准宣贯工作小组制作标准解读宣贯培训PPT课件和标准核心技术明白书，并按标准宣贯培训计划深入各市县相关</w:t>
      </w:r>
      <w:r>
        <w:rPr>
          <w:rFonts w:hint="eastAsia" w:ascii="仿宋_GB2312" w:hAnsi="宋体"/>
          <w:sz w:val="32"/>
          <w:szCs w:val="28"/>
          <w:highlight w:val="none"/>
          <w:lang w:val="en-US" w:eastAsia="zh-CN"/>
        </w:rPr>
        <w:t>养殖</w:t>
      </w:r>
      <w:r>
        <w:rPr>
          <w:rFonts w:hint="eastAsia" w:ascii="仿宋_GB2312" w:hAnsi="宋体" w:eastAsia="仿宋_GB2312"/>
          <w:sz w:val="32"/>
          <w:szCs w:val="28"/>
          <w:highlight w:val="none"/>
        </w:rPr>
        <w:t>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highlight w:val="none"/>
        </w:rPr>
      </w:pPr>
      <w:r>
        <w:rPr>
          <w:rFonts w:hint="eastAsia" w:ascii="仿宋_GB2312" w:hAnsi="宋体" w:eastAsia="仿宋_GB2312"/>
          <w:b/>
          <w:sz w:val="32"/>
          <w:szCs w:val="28"/>
          <w:highlight w:val="none"/>
        </w:rPr>
        <w:t>（三）开展标准实施交流会，收集标准实施反馈信息</w:t>
      </w:r>
    </w:p>
    <w:p w14:paraId="336AB236">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标准起草小组深入各市县相关</w:t>
      </w:r>
      <w:r>
        <w:rPr>
          <w:rFonts w:hint="eastAsia" w:ascii="仿宋_GB2312" w:hAnsi="宋体"/>
          <w:sz w:val="32"/>
          <w:szCs w:val="28"/>
          <w:highlight w:val="none"/>
          <w:lang w:val="en-US" w:eastAsia="zh-CN"/>
        </w:rPr>
        <w:t>养殖</w:t>
      </w:r>
      <w:r>
        <w:rPr>
          <w:rFonts w:hint="eastAsia" w:ascii="仿宋_GB2312" w:hAnsi="宋体" w:eastAsia="仿宋_GB2312"/>
          <w:sz w:val="32"/>
          <w:szCs w:val="28"/>
          <w:highlight w:val="none"/>
        </w:rPr>
        <w:t>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highlight w:val="none"/>
        </w:rPr>
      </w:pPr>
      <w:r>
        <w:rPr>
          <w:rFonts w:hint="eastAsia" w:ascii="仿宋_GB2312" w:hAnsi="宋体" w:eastAsia="仿宋_GB2312"/>
          <w:b/>
          <w:sz w:val="32"/>
          <w:szCs w:val="28"/>
          <w:highlight w:val="none"/>
        </w:rPr>
        <w:t>（四）开展标准实施效果评估</w:t>
      </w:r>
    </w:p>
    <w:p w14:paraId="7DE0DDFE">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highlight w:val="none"/>
        </w:rPr>
      </w:pPr>
      <w:r>
        <w:rPr>
          <w:rFonts w:hint="eastAsia" w:ascii="黑体" w:hAnsi="黑体" w:eastAsia="黑体" w:cs="仿宋_GB2312"/>
          <w:sz w:val="32"/>
          <w:szCs w:val="32"/>
          <w:highlight w:val="none"/>
        </w:rPr>
        <w:t>八、其他应当说明的事项</w:t>
      </w:r>
    </w:p>
    <w:p w14:paraId="23A53EB2">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无。</w:t>
      </w:r>
    </w:p>
    <w:p w14:paraId="1562F1AF">
      <w:pPr>
        <w:keepNext w:val="0"/>
        <w:keepLines w:val="0"/>
        <w:pageBreakBefore w:val="0"/>
        <w:kinsoku/>
        <w:overflowPunct/>
        <w:topLinePunct w:val="0"/>
        <w:bidi w:val="0"/>
        <w:snapToGrid/>
        <w:spacing w:line="560" w:lineRule="exact"/>
        <w:textAlignment w:val="auto"/>
        <w:rPr>
          <w:rFonts w:ascii="仿宋_GB2312" w:hAnsi="仿宋" w:eastAsia="仿宋_GB2312"/>
          <w:bCs/>
          <w:color w:val="000000"/>
          <w:sz w:val="36"/>
          <w:szCs w:val="32"/>
          <w:highlight w:val="none"/>
        </w:rPr>
      </w:pPr>
    </w:p>
    <w:p w14:paraId="0FDE70D6">
      <w:pPr>
        <w:keepNext w:val="0"/>
        <w:keepLines w:val="0"/>
        <w:pageBreakBefore w:val="0"/>
        <w:kinsoku/>
        <w:overflowPunct/>
        <w:topLinePunct w:val="0"/>
        <w:bidi w:val="0"/>
        <w:snapToGrid/>
        <w:spacing w:line="560" w:lineRule="exact"/>
        <w:textAlignment w:val="auto"/>
        <w:rPr>
          <w:rFonts w:ascii="仿宋_GB2312" w:hAnsi="仿宋" w:eastAsia="仿宋_GB2312"/>
          <w:bCs/>
          <w:color w:val="000000"/>
          <w:sz w:val="36"/>
          <w:szCs w:val="32"/>
          <w:highlight w:val="none"/>
        </w:rPr>
      </w:pPr>
    </w:p>
    <w:p w14:paraId="639B864D">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 xml:space="preserve"> 团体标准《地中海水牛种公牛饲养管理技术规程》</w:t>
      </w:r>
    </w:p>
    <w:p w14:paraId="607C1987">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highlight w:val="none"/>
        </w:rPr>
      </w:pPr>
      <w:r>
        <w:rPr>
          <w:rFonts w:hint="eastAsia" w:ascii="仿宋_GB2312" w:hAnsi="宋体" w:eastAsia="仿宋_GB2312"/>
          <w:sz w:val="32"/>
          <w:szCs w:val="28"/>
          <w:highlight w:val="none"/>
        </w:rPr>
        <w:t xml:space="preserve">标准编制工作组 </w:t>
      </w:r>
      <w:r>
        <w:rPr>
          <w:rFonts w:ascii="仿宋_GB2312" w:hAnsi="宋体" w:eastAsia="仿宋_GB2312"/>
          <w:sz w:val="32"/>
          <w:szCs w:val="28"/>
          <w:highlight w:val="none"/>
        </w:rPr>
        <w:t xml:space="preserve">        </w:t>
      </w:r>
    </w:p>
    <w:p w14:paraId="539467F6">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3</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30</w:t>
      </w:r>
      <w:r>
        <w:rPr>
          <w:rFonts w:hint="eastAsia" w:ascii="仿宋_GB2312" w:hAnsi="宋体" w:eastAsia="仿宋_GB2312"/>
          <w:color w:val="auto"/>
          <w:sz w:val="32"/>
          <w:szCs w:val="28"/>
          <w:highlight w:val="none"/>
        </w:rPr>
        <w:t xml:space="preserve">日       </w:t>
      </w:r>
      <w:r>
        <w:rPr>
          <w:rFonts w:ascii="仿宋_GB2312" w:hAnsi="宋体" w:eastAsia="仿宋_GB2312"/>
          <w:color w:val="auto"/>
          <w:sz w:val="32"/>
          <w:szCs w:val="28"/>
          <w:highlight w:val="none"/>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42C427F6"/>
    <w:multiLevelType w:val="singleLevel"/>
    <w:tmpl w:val="42C427F6"/>
    <w:lvl w:ilvl="0" w:tentative="0">
      <w:start w:val="1"/>
      <w:numFmt w:val="chineseCounting"/>
      <w:suff w:val="nothing"/>
      <w:lvlText w:val="（%1）"/>
      <w:lvlJc w:val="left"/>
      <w:rPr>
        <w:rFonts w:hint="eastAsia"/>
      </w:rPr>
    </w:lvl>
  </w:abstractNum>
  <w:abstractNum w:abstractNumId="6">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8"/>
  </w:num>
  <w:num w:numId="2">
    <w:abstractNumId w:val="6"/>
  </w:num>
  <w:num w:numId="3">
    <w:abstractNumId w:val="3"/>
  </w:num>
  <w:num w:numId="4">
    <w:abstractNumId w:val="0"/>
  </w:num>
  <w:num w:numId="5">
    <w:abstractNumId w:val="4"/>
  </w:num>
  <w:num w:numId="6">
    <w:abstractNumId w:val="2"/>
  </w:num>
  <w:num w:numId="7">
    <w:abstractNumId w:val="1"/>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9E595D"/>
    <w:rsid w:val="070F07F6"/>
    <w:rsid w:val="071E0F8F"/>
    <w:rsid w:val="08083403"/>
    <w:rsid w:val="09B434E5"/>
    <w:rsid w:val="09BE5E2A"/>
    <w:rsid w:val="09F950E5"/>
    <w:rsid w:val="0A091F73"/>
    <w:rsid w:val="0A8504E9"/>
    <w:rsid w:val="0ADD6A6C"/>
    <w:rsid w:val="0B2B5A29"/>
    <w:rsid w:val="0D6214AA"/>
    <w:rsid w:val="0D92619C"/>
    <w:rsid w:val="0DCB52A1"/>
    <w:rsid w:val="0E4C5F96"/>
    <w:rsid w:val="0EB020D5"/>
    <w:rsid w:val="0F276507"/>
    <w:rsid w:val="0F412CA9"/>
    <w:rsid w:val="0F4F5A5E"/>
    <w:rsid w:val="0F9D4A1B"/>
    <w:rsid w:val="0FD109F9"/>
    <w:rsid w:val="0FD566D2"/>
    <w:rsid w:val="10CA29F9"/>
    <w:rsid w:val="1142587A"/>
    <w:rsid w:val="11D230A2"/>
    <w:rsid w:val="12936354"/>
    <w:rsid w:val="12AF5192"/>
    <w:rsid w:val="13B2170D"/>
    <w:rsid w:val="13B97480"/>
    <w:rsid w:val="14034EB5"/>
    <w:rsid w:val="14870494"/>
    <w:rsid w:val="15085E8C"/>
    <w:rsid w:val="15174F60"/>
    <w:rsid w:val="15237771"/>
    <w:rsid w:val="1556095A"/>
    <w:rsid w:val="167D7F24"/>
    <w:rsid w:val="171C091C"/>
    <w:rsid w:val="17306AB5"/>
    <w:rsid w:val="17373F64"/>
    <w:rsid w:val="189C1D14"/>
    <w:rsid w:val="19A054D6"/>
    <w:rsid w:val="1A2975D8"/>
    <w:rsid w:val="1B0717C8"/>
    <w:rsid w:val="1BE33681"/>
    <w:rsid w:val="1ED41ADC"/>
    <w:rsid w:val="202645B9"/>
    <w:rsid w:val="203926DE"/>
    <w:rsid w:val="20653288"/>
    <w:rsid w:val="20732B8B"/>
    <w:rsid w:val="21862EC6"/>
    <w:rsid w:val="219537A4"/>
    <w:rsid w:val="21A36214"/>
    <w:rsid w:val="237A2B2A"/>
    <w:rsid w:val="23DF51AB"/>
    <w:rsid w:val="243E0123"/>
    <w:rsid w:val="26A24E49"/>
    <w:rsid w:val="272927CF"/>
    <w:rsid w:val="2927387C"/>
    <w:rsid w:val="296A40E9"/>
    <w:rsid w:val="29F25A7E"/>
    <w:rsid w:val="2AB7478C"/>
    <w:rsid w:val="2C0E1A71"/>
    <w:rsid w:val="2C1125C1"/>
    <w:rsid w:val="2C4F36F5"/>
    <w:rsid w:val="2D067C4C"/>
    <w:rsid w:val="2D3227EF"/>
    <w:rsid w:val="2D5F22BD"/>
    <w:rsid w:val="2D997146"/>
    <w:rsid w:val="2FF37D11"/>
    <w:rsid w:val="3013049D"/>
    <w:rsid w:val="30DA4C36"/>
    <w:rsid w:val="32674CE9"/>
    <w:rsid w:val="332C3D99"/>
    <w:rsid w:val="33813B89"/>
    <w:rsid w:val="342C61EA"/>
    <w:rsid w:val="365875C5"/>
    <w:rsid w:val="37A3504D"/>
    <w:rsid w:val="38D34C9F"/>
    <w:rsid w:val="39356049"/>
    <w:rsid w:val="3B4E60E4"/>
    <w:rsid w:val="3B9D177C"/>
    <w:rsid w:val="3BFE2074"/>
    <w:rsid w:val="3CC01BC6"/>
    <w:rsid w:val="3D8A4BA3"/>
    <w:rsid w:val="3DE73182"/>
    <w:rsid w:val="3E594080"/>
    <w:rsid w:val="3F8C7277"/>
    <w:rsid w:val="3FA0222F"/>
    <w:rsid w:val="40F005A0"/>
    <w:rsid w:val="40FE4BEC"/>
    <w:rsid w:val="41BC1DE0"/>
    <w:rsid w:val="41FD2F74"/>
    <w:rsid w:val="42D769B6"/>
    <w:rsid w:val="43374264"/>
    <w:rsid w:val="44F600D3"/>
    <w:rsid w:val="45617704"/>
    <w:rsid w:val="45D514DB"/>
    <w:rsid w:val="47356D0C"/>
    <w:rsid w:val="48627FD5"/>
    <w:rsid w:val="48B048DB"/>
    <w:rsid w:val="4AAF5028"/>
    <w:rsid w:val="4B8C0594"/>
    <w:rsid w:val="4BA82252"/>
    <w:rsid w:val="4C0F7B1B"/>
    <w:rsid w:val="4CFE380A"/>
    <w:rsid w:val="4D051DBB"/>
    <w:rsid w:val="4D862B8C"/>
    <w:rsid w:val="4DAB40F0"/>
    <w:rsid w:val="4DFF35F5"/>
    <w:rsid w:val="4EA90DE9"/>
    <w:rsid w:val="4EF47599"/>
    <w:rsid w:val="4FE3578A"/>
    <w:rsid w:val="527A08B3"/>
    <w:rsid w:val="5374721F"/>
    <w:rsid w:val="5394300C"/>
    <w:rsid w:val="54DA4AA4"/>
    <w:rsid w:val="54E94B5B"/>
    <w:rsid w:val="55661639"/>
    <w:rsid w:val="55761622"/>
    <w:rsid w:val="55985036"/>
    <w:rsid w:val="59C77C98"/>
    <w:rsid w:val="5BD857FA"/>
    <w:rsid w:val="5C080481"/>
    <w:rsid w:val="5DC34C1A"/>
    <w:rsid w:val="5E202145"/>
    <w:rsid w:val="5ED03A93"/>
    <w:rsid w:val="5F621BCD"/>
    <w:rsid w:val="5F955985"/>
    <w:rsid w:val="6031647B"/>
    <w:rsid w:val="608508AD"/>
    <w:rsid w:val="60A725D1"/>
    <w:rsid w:val="60D333C6"/>
    <w:rsid w:val="61963763"/>
    <w:rsid w:val="62F74A7A"/>
    <w:rsid w:val="62FD43A6"/>
    <w:rsid w:val="64892A0D"/>
    <w:rsid w:val="668E2223"/>
    <w:rsid w:val="67D363A2"/>
    <w:rsid w:val="683026D9"/>
    <w:rsid w:val="68684D3C"/>
    <w:rsid w:val="689A6DDC"/>
    <w:rsid w:val="693F388B"/>
    <w:rsid w:val="6DA41790"/>
    <w:rsid w:val="6DBA21A1"/>
    <w:rsid w:val="6F7B35A7"/>
    <w:rsid w:val="70E231B1"/>
    <w:rsid w:val="716F713B"/>
    <w:rsid w:val="71B85104"/>
    <w:rsid w:val="724539F8"/>
    <w:rsid w:val="72EA2869"/>
    <w:rsid w:val="73731F46"/>
    <w:rsid w:val="73966C01"/>
    <w:rsid w:val="74470CC7"/>
    <w:rsid w:val="78AF3D07"/>
    <w:rsid w:val="79ED6E4F"/>
    <w:rsid w:val="7AF5051C"/>
    <w:rsid w:val="7BBA680A"/>
    <w:rsid w:val="7BE826AE"/>
    <w:rsid w:val="7CA13F21"/>
    <w:rsid w:val="7CCF532E"/>
    <w:rsid w:val="7D4D5E56"/>
    <w:rsid w:val="7E00338F"/>
    <w:rsid w:val="7F427C3D"/>
    <w:rsid w:val="7FEC7B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21</Pages>
  <Words>6380</Words>
  <Characters>6629</Characters>
  <Lines>2</Lines>
  <Paragraphs>5</Paragraphs>
  <TotalTime>0</TotalTime>
  <ScaleCrop>false</ScaleCrop>
  <LinksUpToDate>false</LinksUpToDate>
  <CharactersWithSpaces>6668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2026-03-31T06:45:05Z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